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rPr>
        <w:id w:val="1844664827"/>
        <w:docPartObj>
          <w:docPartGallery w:val="Cover Pages"/>
          <w:docPartUnique/>
        </w:docPartObj>
      </w:sdtPr>
      <w:sdtEndPr>
        <w:rPr>
          <w:b/>
          <w:bCs/>
          <w:noProof/>
        </w:rPr>
      </w:sdtEndPr>
      <w:sdtContent>
        <w:p w14:paraId="2584CA5B" w14:textId="77777777" w:rsidR="004F76A1" w:rsidRPr="0000287E" w:rsidRDefault="004F76A1" w:rsidP="004F76A1">
          <w:pPr>
            <w:rPr>
              <w:rFonts w:cs="Times New Roman"/>
            </w:rPr>
          </w:pPr>
        </w:p>
        <w:p w14:paraId="7253CC03" w14:textId="77777777" w:rsidR="004F76A1" w:rsidRPr="0000287E" w:rsidRDefault="004F76A1" w:rsidP="004F76A1">
          <w:pPr>
            <w:rPr>
              <w:rFonts w:cs="Times New Roman"/>
            </w:rPr>
          </w:pPr>
        </w:p>
        <w:p w14:paraId="13C68FD2" w14:textId="77777777" w:rsidR="004F76A1" w:rsidRPr="0000287E" w:rsidRDefault="004F76A1" w:rsidP="004F76A1">
          <w:pPr>
            <w:jc w:val="center"/>
            <w:rPr>
              <w:rFonts w:cs="Times New Roman"/>
              <w:b/>
              <w:bCs/>
              <w:noProof/>
              <w:sz w:val="32"/>
            </w:rPr>
          </w:pPr>
        </w:p>
        <w:p w14:paraId="4388212A" w14:textId="77777777" w:rsidR="004F76A1" w:rsidRPr="0000287E" w:rsidRDefault="004F76A1" w:rsidP="004F76A1">
          <w:pPr>
            <w:jc w:val="center"/>
            <w:rPr>
              <w:rFonts w:cs="Times New Roman"/>
              <w:b/>
              <w:bCs/>
              <w:noProof/>
              <w:sz w:val="32"/>
            </w:rPr>
          </w:pPr>
        </w:p>
        <w:p w14:paraId="586D12BC" w14:textId="77777777" w:rsidR="004F76A1" w:rsidRPr="0000287E" w:rsidRDefault="004F76A1" w:rsidP="004F76A1">
          <w:pPr>
            <w:jc w:val="center"/>
            <w:rPr>
              <w:rFonts w:cs="Times New Roman"/>
              <w:b/>
              <w:bCs/>
              <w:noProof/>
              <w:sz w:val="32"/>
            </w:rPr>
          </w:pPr>
        </w:p>
        <w:p w14:paraId="6B74A543" w14:textId="77777777" w:rsidR="004F76A1" w:rsidRPr="0000287E" w:rsidRDefault="004F76A1" w:rsidP="004F76A1">
          <w:pPr>
            <w:jc w:val="center"/>
            <w:rPr>
              <w:rFonts w:cs="Times New Roman"/>
              <w:b/>
              <w:bCs/>
              <w:noProof/>
              <w:sz w:val="32"/>
            </w:rPr>
          </w:pPr>
        </w:p>
        <w:p w14:paraId="42B96E1C" w14:textId="5A05169F" w:rsidR="006237C6" w:rsidRDefault="004F76A1" w:rsidP="004F76A1">
          <w:pPr>
            <w:jc w:val="center"/>
            <w:rPr>
              <w:rFonts w:cs="Times New Roman"/>
              <w:b/>
              <w:bCs/>
              <w:noProof/>
              <w:sz w:val="32"/>
              <w:szCs w:val="32"/>
            </w:rPr>
          </w:pPr>
          <w:r w:rsidRPr="0000287E">
            <w:rPr>
              <w:rFonts w:cs="Times New Roman"/>
              <w:b/>
              <w:bCs/>
              <w:noProof/>
              <w:sz w:val="32"/>
              <w:lang w:eastAsia="hr-HR"/>
            </w:rPr>
            <w:drawing>
              <wp:anchor distT="0" distB="0" distL="114300" distR="114300" simplePos="0" relativeHeight="251660288" behindDoc="0" locked="0" layoutInCell="1" allowOverlap="1" wp14:anchorId="05D79995" wp14:editId="3B2BA659">
                <wp:simplePos x="0" y="0"/>
                <wp:positionH relativeFrom="page">
                  <wp:posOffset>285750</wp:posOffset>
                </wp:positionH>
                <wp:positionV relativeFrom="page">
                  <wp:posOffset>9772650</wp:posOffset>
                </wp:positionV>
                <wp:extent cx="1774825" cy="5016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74825" cy="501650"/>
                        </a:xfrm>
                        <a:prstGeom prst="rect">
                          <a:avLst/>
                        </a:prstGeom>
                      </pic:spPr>
                    </pic:pic>
                  </a:graphicData>
                </a:graphic>
                <wp14:sizeRelH relativeFrom="margin">
                  <wp14:pctWidth>0</wp14:pctWidth>
                </wp14:sizeRelH>
                <wp14:sizeRelV relativeFrom="margin">
                  <wp14:pctHeight>0</wp14:pctHeight>
                </wp14:sizeRelV>
              </wp:anchor>
            </w:drawing>
          </w:r>
          <w:r w:rsidRPr="0000287E">
            <w:rPr>
              <w:rFonts w:cs="Times New Roman"/>
              <w:b/>
              <w:bCs/>
              <w:noProof/>
              <w:sz w:val="32"/>
              <w:szCs w:val="32"/>
            </w:rPr>
            <w:t xml:space="preserve">Srednjoročni plan </w:t>
          </w:r>
          <w:bookmarkStart w:id="0" w:name="_Hlk39826319"/>
          <w:r w:rsidR="00F242F5" w:rsidRPr="00F242F5">
            <w:rPr>
              <w:rFonts w:cs="Times New Roman"/>
              <w:b/>
              <w:bCs/>
              <w:noProof/>
              <w:sz w:val="32"/>
              <w:szCs w:val="32"/>
            </w:rPr>
            <w:t>razvitka vodnih putova, luka i pristaništa Republike Hrvatske za razdoblje  od 2022. do 2031. godine</w:t>
          </w:r>
          <w:bookmarkEnd w:id="0"/>
        </w:p>
        <w:p w14:paraId="5EC1F0B3" w14:textId="52E34104" w:rsidR="006237C6" w:rsidRPr="006242EF" w:rsidRDefault="006237C6" w:rsidP="006237C6">
          <w:pPr>
            <w:jc w:val="center"/>
            <w:rPr>
              <w:i/>
              <w:iCs/>
              <w:noProof/>
              <w:sz w:val="32"/>
            </w:rPr>
          </w:pPr>
          <w:r w:rsidRPr="006242EF">
            <w:rPr>
              <w:i/>
              <w:iCs/>
              <w:noProof/>
              <w:sz w:val="32"/>
              <w:szCs w:val="32"/>
            </w:rPr>
            <w:t xml:space="preserve">Prilog </w:t>
          </w:r>
          <w:r>
            <w:rPr>
              <w:i/>
              <w:iCs/>
              <w:noProof/>
              <w:sz w:val="32"/>
              <w:szCs w:val="32"/>
            </w:rPr>
            <w:t>3</w:t>
          </w:r>
          <w:r w:rsidRPr="006242EF">
            <w:rPr>
              <w:i/>
              <w:iCs/>
              <w:noProof/>
              <w:sz w:val="32"/>
              <w:szCs w:val="32"/>
            </w:rPr>
            <w:t>.</w:t>
          </w:r>
          <w:r>
            <w:rPr>
              <w:i/>
              <w:iCs/>
              <w:noProof/>
              <w:sz w:val="32"/>
              <w:szCs w:val="32"/>
            </w:rPr>
            <w:t xml:space="preserve"> </w:t>
          </w:r>
          <w:bookmarkStart w:id="1" w:name="_Hlk107051913"/>
          <w:r w:rsidR="002816D1">
            <w:rPr>
              <w:i/>
              <w:iCs/>
              <w:noProof/>
              <w:sz w:val="32"/>
              <w:szCs w:val="32"/>
            </w:rPr>
            <w:t>M</w:t>
          </w:r>
          <w:r w:rsidRPr="006237C6">
            <w:rPr>
              <w:i/>
              <w:iCs/>
              <w:noProof/>
              <w:sz w:val="32"/>
              <w:szCs w:val="32"/>
            </w:rPr>
            <w:t>etode valorizacije eksternih troškova i politika naplate korištenja infrastrukture u riječnom prometu</w:t>
          </w:r>
          <w:bookmarkEnd w:id="1"/>
        </w:p>
        <w:p w14:paraId="74F4FBEA" w14:textId="61D1A525" w:rsidR="004F76A1" w:rsidRPr="0000287E" w:rsidRDefault="004F76A1" w:rsidP="004F76A1">
          <w:pPr>
            <w:jc w:val="center"/>
            <w:rPr>
              <w:rFonts w:cs="Times New Roman"/>
              <w:b/>
              <w:bCs/>
              <w:noProof/>
              <w:sz w:val="32"/>
            </w:rPr>
          </w:pPr>
          <w:r w:rsidRPr="0000287E">
            <w:rPr>
              <w:rFonts w:cs="Times New Roman"/>
              <w:b/>
              <w:bCs/>
              <w:noProof/>
              <w:sz w:val="32"/>
              <w:szCs w:val="32"/>
            </w:rPr>
            <w:t xml:space="preserve"> </w:t>
          </w:r>
        </w:p>
        <w:p w14:paraId="75713485" w14:textId="77777777" w:rsidR="004F76A1" w:rsidRPr="0000287E" w:rsidRDefault="004F76A1" w:rsidP="004F76A1">
          <w:pPr>
            <w:jc w:val="center"/>
            <w:rPr>
              <w:rFonts w:cs="Times New Roman"/>
              <w:b/>
              <w:bCs/>
              <w:noProof/>
            </w:rPr>
          </w:pPr>
        </w:p>
        <w:p w14:paraId="12F8BD8B" w14:textId="77777777" w:rsidR="004F76A1" w:rsidRPr="0000287E" w:rsidRDefault="004F76A1" w:rsidP="004F76A1">
          <w:pPr>
            <w:jc w:val="center"/>
            <w:rPr>
              <w:rFonts w:cs="Times New Roman"/>
              <w:b/>
              <w:bCs/>
              <w:noProof/>
            </w:rPr>
          </w:pPr>
        </w:p>
        <w:p w14:paraId="6B8C2E46" w14:textId="77777777" w:rsidR="004F76A1" w:rsidRPr="0000287E" w:rsidRDefault="004F76A1" w:rsidP="004F76A1">
          <w:pPr>
            <w:jc w:val="center"/>
            <w:rPr>
              <w:rFonts w:cs="Times New Roman"/>
              <w:b/>
              <w:bCs/>
              <w:noProof/>
            </w:rPr>
          </w:pPr>
        </w:p>
        <w:p w14:paraId="7BD816C8" w14:textId="77777777" w:rsidR="004F76A1" w:rsidRPr="0000287E" w:rsidRDefault="004F76A1" w:rsidP="004F76A1">
          <w:pPr>
            <w:jc w:val="center"/>
            <w:rPr>
              <w:rFonts w:cs="Times New Roman"/>
              <w:b/>
              <w:bCs/>
              <w:noProof/>
            </w:rPr>
          </w:pPr>
        </w:p>
        <w:p w14:paraId="2BEEF177" w14:textId="77777777" w:rsidR="004F76A1" w:rsidRPr="0000287E" w:rsidRDefault="004F76A1" w:rsidP="004F76A1">
          <w:pPr>
            <w:jc w:val="center"/>
            <w:rPr>
              <w:rFonts w:cs="Times New Roman"/>
              <w:b/>
              <w:bCs/>
              <w:noProof/>
            </w:rPr>
          </w:pPr>
        </w:p>
        <w:p w14:paraId="08B230FC" w14:textId="77777777" w:rsidR="004F76A1" w:rsidRPr="0000287E" w:rsidRDefault="004F76A1" w:rsidP="004F76A1">
          <w:pPr>
            <w:jc w:val="center"/>
            <w:rPr>
              <w:rFonts w:cs="Times New Roman"/>
              <w:b/>
              <w:bCs/>
              <w:noProof/>
            </w:rPr>
          </w:pPr>
        </w:p>
        <w:p w14:paraId="370DE35A" w14:textId="77777777" w:rsidR="004F76A1" w:rsidRPr="0000287E" w:rsidRDefault="004F76A1" w:rsidP="004F76A1">
          <w:pPr>
            <w:jc w:val="center"/>
            <w:rPr>
              <w:rFonts w:cs="Times New Roman"/>
              <w:b/>
              <w:bCs/>
              <w:noProof/>
            </w:rPr>
          </w:pPr>
        </w:p>
        <w:p w14:paraId="2AD7C931" w14:textId="77777777" w:rsidR="004F76A1" w:rsidRPr="0000287E" w:rsidRDefault="004F76A1" w:rsidP="004F76A1">
          <w:pPr>
            <w:jc w:val="center"/>
            <w:rPr>
              <w:rFonts w:cs="Times New Roman"/>
              <w:b/>
              <w:bCs/>
              <w:noProof/>
            </w:rPr>
          </w:pPr>
        </w:p>
        <w:p w14:paraId="334E19F2" w14:textId="77777777" w:rsidR="004F76A1" w:rsidRPr="0000287E" w:rsidRDefault="004F76A1" w:rsidP="004F76A1">
          <w:pPr>
            <w:jc w:val="center"/>
            <w:rPr>
              <w:rFonts w:cs="Times New Roman"/>
              <w:b/>
              <w:bCs/>
              <w:noProof/>
            </w:rPr>
          </w:pPr>
        </w:p>
        <w:p w14:paraId="564614C8" w14:textId="77777777" w:rsidR="004F76A1" w:rsidRPr="0000287E" w:rsidRDefault="004F76A1" w:rsidP="004F76A1">
          <w:pPr>
            <w:jc w:val="center"/>
            <w:rPr>
              <w:rFonts w:cs="Times New Roman"/>
              <w:b/>
              <w:bCs/>
              <w:noProof/>
            </w:rPr>
          </w:pPr>
        </w:p>
        <w:p w14:paraId="59981B84" w14:textId="77777777" w:rsidR="004F76A1" w:rsidRPr="0000287E" w:rsidRDefault="004F76A1" w:rsidP="004F76A1">
          <w:pPr>
            <w:jc w:val="center"/>
            <w:rPr>
              <w:rFonts w:cs="Times New Roman"/>
              <w:b/>
              <w:bCs/>
              <w:noProof/>
            </w:rPr>
          </w:pPr>
        </w:p>
        <w:p w14:paraId="1708B044" w14:textId="77777777" w:rsidR="004F76A1" w:rsidRPr="0000287E" w:rsidRDefault="004F76A1" w:rsidP="004F76A1">
          <w:pPr>
            <w:jc w:val="center"/>
            <w:rPr>
              <w:rFonts w:cs="Times New Roman"/>
              <w:b/>
              <w:bCs/>
              <w:noProof/>
            </w:rPr>
          </w:pPr>
        </w:p>
        <w:p w14:paraId="435EE1AB" w14:textId="2263532A" w:rsidR="004F76A1" w:rsidRPr="0000287E" w:rsidRDefault="00DD3AB2" w:rsidP="004F76A1">
          <w:pPr>
            <w:jc w:val="center"/>
            <w:rPr>
              <w:rFonts w:cs="Times New Roman"/>
              <w:b/>
              <w:bCs/>
              <w:noProof/>
            </w:rPr>
          </w:pPr>
          <w:r>
            <w:rPr>
              <w:rFonts w:cs="Times New Roman"/>
              <w:b/>
              <w:bCs/>
              <w:noProof/>
            </w:rPr>
            <w:t>Kolovoz</w:t>
          </w:r>
          <w:r w:rsidR="004F76A1" w:rsidRPr="0000287E">
            <w:rPr>
              <w:rFonts w:cs="Times New Roman"/>
              <w:b/>
              <w:bCs/>
              <w:noProof/>
            </w:rPr>
            <w:t>, 2022.</w:t>
          </w:r>
        </w:p>
        <w:p w14:paraId="2A04231B" w14:textId="77777777" w:rsidR="004F76A1" w:rsidRPr="0000287E" w:rsidRDefault="004F76A1" w:rsidP="004F76A1">
          <w:pPr>
            <w:jc w:val="center"/>
            <w:rPr>
              <w:rFonts w:cs="Times New Roman"/>
              <w:bCs/>
              <w:i/>
              <w:noProof/>
            </w:rPr>
          </w:pPr>
        </w:p>
        <w:p w14:paraId="7BC38F4F" w14:textId="77777777" w:rsidR="004F76A1" w:rsidRPr="0000287E" w:rsidRDefault="004F76A1" w:rsidP="004F76A1">
          <w:pPr>
            <w:jc w:val="center"/>
            <w:rPr>
              <w:rFonts w:cs="Times New Roman"/>
              <w:bCs/>
              <w:i/>
              <w:noProof/>
            </w:rPr>
          </w:pPr>
        </w:p>
        <w:p w14:paraId="185DB500" w14:textId="77777777" w:rsidR="004F76A1" w:rsidRPr="0000287E" w:rsidRDefault="004F76A1" w:rsidP="004F76A1">
          <w:pPr>
            <w:jc w:val="center"/>
            <w:rPr>
              <w:rFonts w:cs="Times New Roman"/>
              <w:b/>
              <w:bCs/>
              <w:noProof/>
            </w:rPr>
          </w:pPr>
          <w:r w:rsidRPr="0000287E">
            <w:rPr>
              <w:rFonts w:cs="Times New Roman"/>
              <w:b/>
              <w:noProof/>
              <w:sz w:val="32"/>
              <w:lang w:eastAsia="hr-HR"/>
            </w:rPr>
            <w:drawing>
              <wp:anchor distT="0" distB="0" distL="114300" distR="114300" simplePos="0" relativeHeight="251659264" behindDoc="0" locked="0" layoutInCell="1" allowOverlap="1" wp14:anchorId="1499672C" wp14:editId="5C17B75C">
                <wp:simplePos x="0" y="0"/>
                <wp:positionH relativeFrom="margin">
                  <wp:posOffset>5552602</wp:posOffset>
                </wp:positionH>
                <wp:positionV relativeFrom="bottomMargin">
                  <wp:posOffset>-69850</wp:posOffset>
                </wp:positionV>
                <wp:extent cx="914400" cy="74422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744220"/>
                        </a:xfrm>
                        <a:prstGeom prst="rect">
                          <a:avLst/>
                        </a:prstGeom>
                      </pic:spPr>
                    </pic:pic>
                  </a:graphicData>
                </a:graphic>
                <wp14:sizeRelH relativeFrom="margin">
                  <wp14:pctWidth>0</wp14:pctWidth>
                </wp14:sizeRelH>
                <wp14:sizeRelV relativeFrom="margin">
                  <wp14:pctHeight>0</wp14:pctHeight>
                </wp14:sizeRelV>
              </wp:anchor>
            </w:drawing>
          </w:r>
          <w:r w:rsidRPr="0000287E">
            <w:rPr>
              <w:rFonts w:cs="Times New Roman"/>
              <w:b/>
              <w:bCs/>
              <w:noProof/>
              <w:sz w:val="32"/>
              <w:lang w:eastAsia="hr-HR"/>
            </w:rPr>
            <w:drawing>
              <wp:anchor distT="0" distB="0" distL="114300" distR="114300" simplePos="0" relativeHeight="251662336" behindDoc="0" locked="0" layoutInCell="1" allowOverlap="1" wp14:anchorId="14E21CFD" wp14:editId="417EE436">
                <wp:simplePos x="0" y="0"/>
                <wp:positionH relativeFrom="column">
                  <wp:posOffset>3579657</wp:posOffset>
                </wp:positionH>
                <wp:positionV relativeFrom="page">
                  <wp:posOffset>9848850</wp:posOffset>
                </wp:positionV>
                <wp:extent cx="1518920" cy="407035"/>
                <wp:effectExtent l="0" t="0" r="5080" b="0"/>
                <wp:wrapNone/>
                <wp:docPr id="19" name="Picture 19" descr="M:\A\Advisory\Clients\Integrirani promet zagrebačkog područja\02-2016 TA for Integrated Transportation Masterplan\07 Working docs\Templates\OPKK_boja_bez pozadine_man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dvisory\Clients\Integrirani promet zagrebačkog područja\02-2016 TA for Integrated Transportation Masterplan\07 Working docs\Templates\OPKK_boja_bez pozadine_manj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920"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287E">
            <w:rPr>
              <w:rFonts w:cs="Times New Roman"/>
              <w:b/>
              <w:bCs/>
              <w:noProof/>
              <w:sz w:val="32"/>
              <w:lang w:eastAsia="hr-HR"/>
            </w:rPr>
            <w:drawing>
              <wp:anchor distT="0" distB="0" distL="114300" distR="114300" simplePos="0" relativeHeight="251661312" behindDoc="0" locked="0" layoutInCell="1" allowOverlap="1" wp14:anchorId="3C05BE57" wp14:editId="4363D776">
                <wp:simplePos x="0" y="0"/>
                <wp:positionH relativeFrom="column">
                  <wp:posOffset>1522892</wp:posOffset>
                </wp:positionH>
                <wp:positionV relativeFrom="page">
                  <wp:posOffset>9645650</wp:posOffset>
                </wp:positionV>
                <wp:extent cx="1518920" cy="705485"/>
                <wp:effectExtent l="0" t="0" r="508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518920" cy="705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287E">
            <w:rPr>
              <w:rFonts w:cs="Times New Roman"/>
              <w:i/>
              <w:iCs/>
              <w:noProof/>
            </w:rPr>
            <w:t>Projekt je sufinancirala Europska unija iz Kohezijskog fonda.</w:t>
          </w:r>
        </w:p>
      </w:sdtContent>
    </w:sdt>
    <w:p w14:paraId="5DF578AC" w14:textId="77777777" w:rsidR="004F76A1" w:rsidRPr="0000287E" w:rsidRDefault="004F76A1" w:rsidP="004F76A1">
      <w:pPr>
        <w:rPr>
          <w:rFonts w:cs="Times New Roman"/>
        </w:rPr>
      </w:pPr>
    </w:p>
    <w:sdt>
      <w:sdtPr>
        <w:rPr>
          <w:rFonts w:ascii="Times New Roman" w:eastAsiaTheme="minorHAnsi" w:hAnsi="Times New Roman" w:cs="Times New Roman"/>
          <w:b w:val="0"/>
          <w:bCs w:val="0"/>
          <w:sz w:val="24"/>
          <w:szCs w:val="22"/>
          <w:lang w:eastAsia="en-US"/>
        </w:rPr>
        <w:id w:val="-171956080"/>
        <w:docPartObj>
          <w:docPartGallery w:val="Table of Contents"/>
          <w:docPartUnique/>
        </w:docPartObj>
      </w:sdtPr>
      <w:sdtEndPr/>
      <w:sdtContent>
        <w:p w14:paraId="3AF83C8A" w14:textId="77777777" w:rsidR="004F76A1" w:rsidRPr="006D0BC9" w:rsidRDefault="004F76A1" w:rsidP="004F76A1">
          <w:pPr>
            <w:pStyle w:val="TOCHeading"/>
            <w:numPr>
              <w:ilvl w:val="0"/>
              <w:numId w:val="0"/>
            </w:numPr>
            <w:rPr>
              <w:rFonts w:ascii="Times New Roman" w:hAnsi="Times New Roman" w:cs="Times New Roman"/>
            </w:rPr>
          </w:pPr>
          <w:r w:rsidRPr="006D0BC9">
            <w:rPr>
              <w:rFonts w:ascii="Times New Roman" w:hAnsi="Times New Roman" w:cs="Times New Roman"/>
            </w:rPr>
            <w:t>Sadržaj</w:t>
          </w:r>
        </w:p>
        <w:p w14:paraId="60375D56" w14:textId="77777777" w:rsidR="004F76A1" w:rsidRPr="006D0BC9" w:rsidRDefault="004F76A1" w:rsidP="004F76A1">
          <w:pPr>
            <w:rPr>
              <w:rFonts w:cs="Times New Roman"/>
              <w:lang w:eastAsia="hr-HR"/>
            </w:rPr>
          </w:pPr>
        </w:p>
        <w:p w14:paraId="0B383D6D" w14:textId="5566D485" w:rsidR="004F76A1" w:rsidRPr="006D0BC9" w:rsidRDefault="004F76A1">
          <w:pPr>
            <w:pStyle w:val="TOC1"/>
            <w:rPr>
              <w:rFonts w:ascii="Times New Roman" w:eastAsiaTheme="minorEastAsia" w:hAnsi="Times New Roman" w:cs="Times New Roman"/>
              <w:b w:val="0"/>
              <w:lang w:eastAsia="hr-HR"/>
            </w:rPr>
          </w:pPr>
          <w:r w:rsidRPr="006D0BC9">
            <w:rPr>
              <w:rFonts w:ascii="Times New Roman" w:hAnsi="Times New Roman" w:cs="Times New Roman"/>
            </w:rPr>
            <w:fldChar w:fldCharType="begin"/>
          </w:r>
          <w:r w:rsidRPr="006D0BC9">
            <w:rPr>
              <w:rFonts w:ascii="Times New Roman" w:hAnsi="Times New Roman" w:cs="Times New Roman"/>
            </w:rPr>
            <w:instrText xml:space="preserve"> TOC \o "1-3" \h \z \u </w:instrText>
          </w:r>
          <w:r w:rsidRPr="006D0BC9">
            <w:rPr>
              <w:rFonts w:ascii="Times New Roman" w:hAnsi="Times New Roman" w:cs="Times New Roman"/>
            </w:rPr>
            <w:fldChar w:fldCharType="separate"/>
          </w:r>
          <w:hyperlink w:anchor="_Toc106968085" w:history="1">
            <w:r w:rsidRPr="006D0BC9">
              <w:rPr>
                <w:rStyle w:val="Hyperlink"/>
                <w:rFonts w:ascii="Times New Roman" w:hAnsi="Times New Roman" w:cs="Times New Roman"/>
              </w:rPr>
              <w:t>1</w:t>
            </w:r>
            <w:r w:rsidRPr="006D0BC9">
              <w:rPr>
                <w:rFonts w:ascii="Times New Roman" w:eastAsiaTheme="minorEastAsia" w:hAnsi="Times New Roman" w:cs="Times New Roman"/>
                <w:b w:val="0"/>
                <w:lang w:eastAsia="hr-HR"/>
              </w:rPr>
              <w:tab/>
            </w:r>
            <w:r w:rsidRPr="006D0BC9">
              <w:rPr>
                <w:rStyle w:val="Hyperlink"/>
                <w:rFonts w:ascii="Times New Roman" w:hAnsi="Times New Roman" w:cs="Times New Roman"/>
              </w:rPr>
              <w:t>Uvod</w:t>
            </w:r>
            <w:r w:rsidRPr="006D0BC9">
              <w:rPr>
                <w:rFonts w:ascii="Times New Roman" w:hAnsi="Times New Roman" w:cs="Times New Roman"/>
                <w:webHidden/>
              </w:rPr>
              <w:tab/>
            </w:r>
            <w:r w:rsidRPr="006D0BC9">
              <w:rPr>
                <w:rFonts w:ascii="Times New Roman" w:hAnsi="Times New Roman" w:cs="Times New Roman"/>
                <w:webHidden/>
              </w:rPr>
              <w:fldChar w:fldCharType="begin"/>
            </w:r>
            <w:r w:rsidRPr="006D0BC9">
              <w:rPr>
                <w:rFonts w:ascii="Times New Roman" w:hAnsi="Times New Roman" w:cs="Times New Roman"/>
                <w:webHidden/>
              </w:rPr>
              <w:instrText xml:space="preserve"> PAGEREF _Toc106968085 \h </w:instrText>
            </w:r>
            <w:r w:rsidRPr="006D0BC9">
              <w:rPr>
                <w:rFonts w:ascii="Times New Roman" w:hAnsi="Times New Roman" w:cs="Times New Roman"/>
                <w:webHidden/>
              </w:rPr>
            </w:r>
            <w:r w:rsidRPr="006D0BC9">
              <w:rPr>
                <w:rFonts w:ascii="Times New Roman" w:hAnsi="Times New Roman" w:cs="Times New Roman"/>
                <w:webHidden/>
              </w:rPr>
              <w:fldChar w:fldCharType="separate"/>
            </w:r>
            <w:r w:rsidR="00D97C99">
              <w:rPr>
                <w:rFonts w:ascii="Times New Roman" w:hAnsi="Times New Roman" w:cs="Times New Roman"/>
                <w:webHidden/>
              </w:rPr>
              <w:t>1</w:t>
            </w:r>
            <w:r w:rsidRPr="006D0BC9">
              <w:rPr>
                <w:rFonts w:ascii="Times New Roman" w:hAnsi="Times New Roman" w:cs="Times New Roman"/>
                <w:webHidden/>
              </w:rPr>
              <w:fldChar w:fldCharType="end"/>
            </w:r>
          </w:hyperlink>
        </w:p>
        <w:p w14:paraId="0799262A" w14:textId="38AB2AC0" w:rsidR="004F76A1" w:rsidRPr="006D0BC9" w:rsidRDefault="00456AC9">
          <w:pPr>
            <w:pStyle w:val="TOC1"/>
            <w:rPr>
              <w:rFonts w:ascii="Times New Roman" w:eastAsiaTheme="minorEastAsia" w:hAnsi="Times New Roman" w:cs="Times New Roman"/>
              <w:b w:val="0"/>
              <w:lang w:eastAsia="hr-HR"/>
            </w:rPr>
          </w:pPr>
          <w:hyperlink w:anchor="_Toc106968086" w:history="1">
            <w:r w:rsidR="004F76A1" w:rsidRPr="006D0BC9">
              <w:rPr>
                <w:rStyle w:val="Hyperlink"/>
                <w:rFonts w:ascii="Times New Roman" w:hAnsi="Times New Roman" w:cs="Times New Roman"/>
              </w:rPr>
              <w:t>2</w:t>
            </w:r>
            <w:r w:rsidR="004F76A1" w:rsidRPr="006D0BC9">
              <w:rPr>
                <w:rFonts w:ascii="Times New Roman" w:eastAsiaTheme="minorEastAsia" w:hAnsi="Times New Roman" w:cs="Times New Roman"/>
                <w:b w:val="0"/>
                <w:lang w:eastAsia="hr-HR"/>
              </w:rPr>
              <w:tab/>
            </w:r>
            <w:r w:rsidR="004F76A1" w:rsidRPr="006D0BC9">
              <w:rPr>
                <w:rStyle w:val="Hyperlink"/>
                <w:rFonts w:ascii="Times New Roman" w:hAnsi="Times New Roman" w:cs="Times New Roman"/>
              </w:rPr>
              <w:t>Metode valorizacije eksternih troškova i politika naplate korištenja infrastrukture u riječnom prometu</w:t>
            </w:r>
            <w:r w:rsidR="004F76A1" w:rsidRPr="006D0BC9">
              <w:rPr>
                <w:rFonts w:ascii="Times New Roman" w:hAnsi="Times New Roman" w:cs="Times New Roman"/>
                <w:webHidden/>
              </w:rPr>
              <w:tab/>
            </w:r>
            <w:r w:rsidR="004F76A1" w:rsidRPr="006D0BC9">
              <w:rPr>
                <w:rFonts w:ascii="Times New Roman" w:hAnsi="Times New Roman" w:cs="Times New Roman"/>
                <w:webHidden/>
              </w:rPr>
              <w:fldChar w:fldCharType="begin"/>
            </w:r>
            <w:r w:rsidR="004F76A1" w:rsidRPr="006D0BC9">
              <w:rPr>
                <w:rFonts w:ascii="Times New Roman" w:hAnsi="Times New Roman" w:cs="Times New Roman"/>
                <w:webHidden/>
              </w:rPr>
              <w:instrText xml:space="preserve"> PAGEREF _Toc106968086 \h </w:instrText>
            </w:r>
            <w:r w:rsidR="004F76A1" w:rsidRPr="006D0BC9">
              <w:rPr>
                <w:rFonts w:ascii="Times New Roman" w:hAnsi="Times New Roman" w:cs="Times New Roman"/>
                <w:webHidden/>
              </w:rPr>
            </w:r>
            <w:r w:rsidR="004F76A1" w:rsidRPr="006D0BC9">
              <w:rPr>
                <w:rFonts w:ascii="Times New Roman" w:hAnsi="Times New Roman" w:cs="Times New Roman"/>
                <w:webHidden/>
              </w:rPr>
              <w:fldChar w:fldCharType="separate"/>
            </w:r>
            <w:r w:rsidR="00D97C99">
              <w:rPr>
                <w:rFonts w:ascii="Times New Roman" w:hAnsi="Times New Roman" w:cs="Times New Roman"/>
                <w:webHidden/>
              </w:rPr>
              <w:t>2</w:t>
            </w:r>
            <w:r w:rsidR="004F76A1" w:rsidRPr="006D0BC9">
              <w:rPr>
                <w:rFonts w:ascii="Times New Roman" w:hAnsi="Times New Roman" w:cs="Times New Roman"/>
                <w:webHidden/>
              </w:rPr>
              <w:fldChar w:fldCharType="end"/>
            </w:r>
          </w:hyperlink>
        </w:p>
        <w:p w14:paraId="1959C924" w14:textId="2C0B689E" w:rsidR="004F76A1" w:rsidRPr="006D0BC9" w:rsidRDefault="00456AC9">
          <w:pPr>
            <w:pStyle w:val="TOC2"/>
            <w:tabs>
              <w:tab w:val="left" w:pos="880"/>
              <w:tab w:val="right" w:leader="dot" w:pos="9062"/>
            </w:tabs>
            <w:rPr>
              <w:rFonts w:ascii="Times New Roman" w:eastAsiaTheme="minorEastAsia" w:hAnsi="Times New Roman" w:cs="Times New Roman"/>
              <w:noProof/>
              <w:lang w:eastAsia="hr-HR"/>
            </w:rPr>
          </w:pPr>
          <w:hyperlink w:anchor="_Toc106968087" w:history="1">
            <w:r w:rsidR="004F76A1" w:rsidRPr="006D0BC9">
              <w:rPr>
                <w:rStyle w:val="Hyperlink"/>
                <w:rFonts w:ascii="Times New Roman" w:hAnsi="Times New Roman" w:cs="Times New Roman"/>
                <w:noProof/>
              </w:rPr>
              <w:t>2.1</w:t>
            </w:r>
            <w:r w:rsidR="004F76A1" w:rsidRPr="006D0BC9">
              <w:rPr>
                <w:rFonts w:ascii="Times New Roman" w:eastAsiaTheme="minorEastAsia" w:hAnsi="Times New Roman" w:cs="Times New Roman"/>
                <w:noProof/>
                <w:lang w:eastAsia="hr-HR"/>
              </w:rPr>
              <w:tab/>
            </w:r>
            <w:r w:rsidR="004F76A1" w:rsidRPr="006D0BC9">
              <w:rPr>
                <w:rStyle w:val="Hyperlink"/>
                <w:rFonts w:ascii="Times New Roman" w:hAnsi="Times New Roman" w:cs="Times New Roman"/>
                <w:noProof/>
              </w:rPr>
              <w:t>Politika naplate korištenja infrastrukture u riječnom prometu</w:t>
            </w:r>
            <w:r w:rsidR="004F76A1" w:rsidRPr="006D0BC9">
              <w:rPr>
                <w:rFonts w:ascii="Times New Roman" w:hAnsi="Times New Roman" w:cs="Times New Roman"/>
                <w:noProof/>
                <w:webHidden/>
              </w:rPr>
              <w:tab/>
            </w:r>
            <w:r w:rsidR="004F76A1" w:rsidRPr="006D0BC9">
              <w:rPr>
                <w:rFonts w:ascii="Times New Roman" w:hAnsi="Times New Roman" w:cs="Times New Roman"/>
                <w:noProof/>
                <w:webHidden/>
              </w:rPr>
              <w:fldChar w:fldCharType="begin"/>
            </w:r>
            <w:r w:rsidR="004F76A1" w:rsidRPr="006D0BC9">
              <w:rPr>
                <w:rFonts w:ascii="Times New Roman" w:hAnsi="Times New Roman" w:cs="Times New Roman"/>
                <w:noProof/>
                <w:webHidden/>
              </w:rPr>
              <w:instrText xml:space="preserve"> PAGEREF _Toc106968087 \h </w:instrText>
            </w:r>
            <w:r w:rsidR="004F76A1" w:rsidRPr="006D0BC9">
              <w:rPr>
                <w:rFonts w:ascii="Times New Roman" w:hAnsi="Times New Roman" w:cs="Times New Roman"/>
                <w:noProof/>
                <w:webHidden/>
              </w:rPr>
            </w:r>
            <w:r w:rsidR="004F76A1" w:rsidRPr="006D0BC9">
              <w:rPr>
                <w:rFonts w:ascii="Times New Roman" w:hAnsi="Times New Roman" w:cs="Times New Roman"/>
                <w:noProof/>
                <w:webHidden/>
              </w:rPr>
              <w:fldChar w:fldCharType="separate"/>
            </w:r>
            <w:r w:rsidR="00D97C99">
              <w:rPr>
                <w:rFonts w:ascii="Times New Roman" w:hAnsi="Times New Roman" w:cs="Times New Roman"/>
                <w:noProof/>
                <w:webHidden/>
              </w:rPr>
              <w:t>2</w:t>
            </w:r>
            <w:r w:rsidR="004F76A1" w:rsidRPr="006D0BC9">
              <w:rPr>
                <w:rFonts w:ascii="Times New Roman" w:hAnsi="Times New Roman" w:cs="Times New Roman"/>
                <w:noProof/>
                <w:webHidden/>
              </w:rPr>
              <w:fldChar w:fldCharType="end"/>
            </w:r>
          </w:hyperlink>
        </w:p>
        <w:p w14:paraId="2486202E" w14:textId="0F02BDA9" w:rsidR="004F76A1" w:rsidRPr="006D0BC9" w:rsidRDefault="00456AC9">
          <w:pPr>
            <w:pStyle w:val="TOC2"/>
            <w:tabs>
              <w:tab w:val="left" w:pos="880"/>
              <w:tab w:val="right" w:leader="dot" w:pos="9062"/>
            </w:tabs>
            <w:rPr>
              <w:rFonts w:ascii="Times New Roman" w:eastAsiaTheme="minorEastAsia" w:hAnsi="Times New Roman" w:cs="Times New Roman"/>
              <w:noProof/>
              <w:lang w:eastAsia="hr-HR"/>
            </w:rPr>
          </w:pPr>
          <w:hyperlink w:anchor="_Toc106968088" w:history="1">
            <w:r w:rsidR="004F76A1" w:rsidRPr="006D0BC9">
              <w:rPr>
                <w:rStyle w:val="Hyperlink"/>
                <w:rFonts w:ascii="Times New Roman" w:hAnsi="Times New Roman" w:cs="Times New Roman"/>
                <w:noProof/>
              </w:rPr>
              <w:t>2.2</w:t>
            </w:r>
            <w:r w:rsidR="004F76A1" w:rsidRPr="006D0BC9">
              <w:rPr>
                <w:rFonts w:ascii="Times New Roman" w:eastAsiaTheme="minorEastAsia" w:hAnsi="Times New Roman" w:cs="Times New Roman"/>
                <w:noProof/>
                <w:lang w:eastAsia="hr-HR"/>
              </w:rPr>
              <w:tab/>
            </w:r>
            <w:r w:rsidR="004F76A1" w:rsidRPr="006D0BC9">
              <w:rPr>
                <w:rStyle w:val="Hyperlink"/>
                <w:rFonts w:ascii="Times New Roman" w:hAnsi="Times New Roman" w:cs="Times New Roman"/>
                <w:noProof/>
              </w:rPr>
              <w:t>Eksterni troškovi</w:t>
            </w:r>
            <w:r w:rsidR="004F76A1" w:rsidRPr="006D0BC9">
              <w:rPr>
                <w:rFonts w:ascii="Times New Roman" w:hAnsi="Times New Roman" w:cs="Times New Roman"/>
                <w:noProof/>
                <w:webHidden/>
              </w:rPr>
              <w:tab/>
            </w:r>
            <w:r w:rsidR="004F76A1" w:rsidRPr="006D0BC9">
              <w:rPr>
                <w:rFonts w:ascii="Times New Roman" w:hAnsi="Times New Roman" w:cs="Times New Roman"/>
                <w:noProof/>
                <w:webHidden/>
              </w:rPr>
              <w:fldChar w:fldCharType="begin"/>
            </w:r>
            <w:r w:rsidR="004F76A1" w:rsidRPr="006D0BC9">
              <w:rPr>
                <w:rFonts w:ascii="Times New Roman" w:hAnsi="Times New Roman" w:cs="Times New Roman"/>
                <w:noProof/>
                <w:webHidden/>
              </w:rPr>
              <w:instrText xml:space="preserve"> PAGEREF _Toc106968088 \h </w:instrText>
            </w:r>
            <w:r w:rsidR="004F76A1" w:rsidRPr="006D0BC9">
              <w:rPr>
                <w:rFonts w:ascii="Times New Roman" w:hAnsi="Times New Roman" w:cs="Times New Roman"/>
                <w:noProof/>
                <w:webHidden/>
              </w:rPr>
            </w:r>
            <w:r w:rsidR="004F76A1" w:rsidRPr="006D0BC9">
              <w:rPr>
                <w:rFonts w:ascii="Times New Roman" w:hAnsi="Times New Roman" w:cs="Times New Roman"/>
                <w:noProof/>
                <w:webHidden/>
              </w:rPr>
              <w:fldChar w:fldCharType="separate"/>
            </w:r>
            <w:r w:rsidR="00D97C99">
              <w:rPr>
                <w:rFonts w:ascii="Times New Roman" w:hAnsi="Times New Roman" w:cs="Times New Roman"/>
                <w:noProof/>
                <w:webHidden/>
              </w:rPr>
              <w:t>4</w:t>
            </w:r>
            <w:r w:rsidR="004F76A1" w:rsidRPr="006D0BC9">
              <w:rPr>
                <w:rFonts w:ascii="Times New Roman" w:hAnsi="Times New Roman" w:cs="Times New Roman"/>
                <w:noProof/>
                <w:webHidden/>
              </w:rPr>
              <w:fldChar w:fldCharType="end"/>
            </w:r>
          </w:hyperlink>
        </w:p>
        <w:p w14:paraId="73584D72" w14:textId="7082BA57" w:rsidR="004F76A1" w:rsidRPr="004F76A1" w:rsidRDefault="004F76A1" w:rsidP="004F76A1">
          <w:r w:rsidRPr="006D0BC9">
            <w:rPr>
              <w:rFonts w:cs="Times New Roman"/>
              <w:b/>
              <w:bCs/>
            </w:rPr>
            <w:fldChar w:fldCharType="end"/>
          </w:r>
        </w:p>
      </w:sdtContent>
    </w:sdt>
    <w:p w14:paraId="4D01E064" w14:textId="4BD975A3" w:rsidR="004F76A1" w:rsidRDefault="004F76A1" w:rsidP="004F76A1">
      <w:pPr>
        <w:spacing w:line="259" w:lineRule="auto"/>
        <w:jc w:val="left"/>
        <w:rPr>
          <w:rFonts w:cs="Times New Roman"/>
          <w:sz w:val="36"/>
          <w:szCs w:val="36"/>
        </w:rPr>
        <w:sectPr w:rsidR="004F76A1" w:rsidSect="0015034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0"/>
          <w:cols w:space="708"/>
          <w:titlePg/>
          <w:docGrid w:linePitch="360"/>
        </w:sectPr>
      </w:pPr>
    </w:p>
    <w:p w14:paraId="5C0A314C" w14:textId="77777777" w:rsidR="004F76A1" w:rsidRPr="0000287E" w:rsidRDefault="004F76A1" w:rsidP="004F76A1">
      <w:pPr>
        <w:pStyle w:val="Heading1"/>
        <w:rPr>
          <w:rFonts w:cs="Times New Roman"/>
        </w:rPr>
      </w:pPr>
      <w:bookmarkStart w:id="2" w:name="_Toc106968085"/>
      <w:r w:rsidRPr="0000287E">
        <w:rPr>
          <w:rFonts w:cs="Times New Roman"/>
        </w:rPr>
        <w:lastRenderedPageBreak/>
        <w:t>Uvod</w:t>
      </w:r>
      <w:bookmarkEnd w:id="2"/>
    </w:p>
    <w:p w14:paraId="320DCC21" w14:textId="11207638" w:rsidR="004814B6" w:rsidRDefault="004814B6" w:rsidP="004814B6">
      <w:r>
        <w:rPr>
          <w:rFonts w:cs="Times New Roman"/>
          <w:szCs w:val="24"/>
        </w:rPr>
        <w:t xml:space="preserve">Prilog 3 sastavni je dio </w:t>
      </w:r>
      <w:r w:rsidRPr="00A533EC">
        <w:rPr>
          <w:rFonts w:cs="Times New Roman"/>
          <w:szCs w:val="24"/>
        </w:rPr>
        <w:t>Srednjoročn</w:t>
      </w:r>
      <w:r>
        <w:rPr>
          <w:rFonts w:cs="Times New Roman"/>
          <w:szCs w:val="24"/>
        </w:rPr>
        <w:t xml:space="preserve">og </w:t>
      </w:r>
      <w:r w:rsidRPr="00A533EC">
        <w:rPr>
          <w:rFonts w:cs="Times New Roman"/>
          <w:szCs w:val="24"/>
        </w:rPr>
        <w:t>plan</w:t>
      </w:r>
      <w:r>
        <w:rPr>
          <w:rFonts w:cs="Times New Roman"/>
          <w:szCs w:val="24"/>
        </w:rPr>
        <w:t>a</w:t>
      </w:r>
      <w:r w:rsidRPr="00A533EC">
        <w:rPr>
          <w:rFonts w:cs="Times New Roman"/>
          <w:szCs w:val="24"/>
        </w:rPr>
        <w:t xml:space="preserve"> </w:t>
      </w:r>
      <w:r w:rsidR="00F242F5" w:rsidRPr="00F242F5">
        <w:rPr>
          <w:rFonts w:cs="Times New Roman"/>
          <w:szCs w:val="24"/>
        </w:rPr>
        <w:t>razvitka vodnih putova, luka i pristaništa Republike Hrvatske za razdoblje  od 2022. do 2031. godine</w:t>
      </w:r>
      <w:r>
        <w:rPr>
          <w:rFonts w:cs="Times New Roman"/>
          <w:szCs w:val="24"/>
        </w:rPr>
        <w:t xml:space="preserve">, kojim se utvrđuju </w:t>
      </w:r>
      <w:r w:rsidRPr="008243E7">
        <w:t>operativni planovi razvoja, uređenja i održavanja plovnih putova, razvoja Riječnih informacijskih servisa te razvoja luka i pristaništa u Republici Hrvatskoj</w:t>
      </w:r>
      <w:r>
        <w:t>.</w:t>
      </w:r>
    </w:p>
    <w:p w14:paraId="0E1209B4" w14:textId="44471CBA" w:rsidR="004F76A1" w:rsidRPr="0000287E" w:rsidRDefault="0095653D" w:rsidP="004F76A1">
      <w:pPr>
        <w:rPr>
          <w:rFonts w:cs="Times New Roman"/>
          <w:szCs w:val="24"/>
        </w:rPr>
      </w:pPr>
      <w:r>
        <w:rPr>
          <w:rFonts w:cs="Times New Roman"/>
          <w:szCs w:val="24"/>
        </w:rPr>
        <w:t xml:space="preserve">Kroz Prilog 3 analiziraju se metode valorizacije </w:t>
      </w:r>
      <w:r w:rsidR="00433E25">
        <w:rPr>
          <w:rFonts w:cs="Times New Roman"/>
          <w:szCs w:val="24"/>
        </w:rPr>
        <w:t xml:space="preserve">eksternih troškova i </w:t>
      </w:r>
      <w:r w:rsidR="00433E25" w:rsidRPr="00433E25">
        <w:rPr>
          <w:rFonts w:cs="Times New Roman"/>
          <w:szCs w:val="24"/>
        </w:rPr>
        <w:t>politika naplate korištenja infrastrukture u riječnom prometu</w:t>
      </w:r>
      <w:r w:rsidR="0049021D">
        <w:rPr>
          <w:rFonts w:cs="Times New Roman"/>
          <w:szCs w:val="24"/>
        </w:rPr>
        <w:t xml:space="preserve">. U poglavlju </w:t>
      </w:r>
      <w:r w:rsidR="00B075BD">
        <w:rPr>
          <w:rFonts w:cs="Times New Roman"/>
          <w:szCs w:val="24"/>
        </w:rPr>
        <w:t xml:space="preserve">2.1. </w:t>
      </w:r>
      <w:r w:rsidR="00BF3292">
        <w:rPr>
          <w:rFonts w:cs="Times New Roman"/>
          <w:szCs w:val="24"/>
        </w:rPr>
        <w:t xml:space="preserve">prikazana je usporedba </w:t>
      </w:r>
      <w:r w:rsidR="00B075BD">
        <w:rPr>
          <w:rFonts w:cs="Times New Roman"/>
          <w:szCs w:val="24"/>
        </w:rPr>
        <w:t xml:space="preserve"> </w:t>
      </w:r>
      <w:r w:rsidR="00BF3292">
        <w:rPr>
          <w:rFonts w:cs="Times New Roman"/>
          <w:szCs w:val="24"/>
        </w:rPr>
        <w:t>po</w:t>
      </w:r>
      <w:r w:rsidR="00BF3292" w:rsidRPr="00BF3292">
        <w:rPr>
          <w:rFonts w:cs="Times New Roman"/>
          <w:szCs w:val="24"/>
        </w:rPr>
        <w:t>krić</w:t>
      </w:r>
      <w:r w:rsidR="00BF3292">
        <w:rPr>
          <w:rFonts w:cs="Times New Roman"/>
          <w:szCs w:val="24"/>
        </w:rPr>
        <w:t>a</w:t>
      </w:r>
      <w:r w:rsidR="00BF3292" w:rsidRPr="00BF3292">
        <w:rPr>
          <w:rFonts w:cs="Times New Roman"/>
          <w:szCs w:val="24"/>
        </w:rPr>
        <w:t xml:space="preserve"> troškova po prometnim modovima i tipovima vozila</w:t>
      </w:r>
      <w:r w:rsidR="00A13FD6">
        <w:rPr>
          <w:rFonts w:cs="Times New Roman"/>
          <w:szCs w:val="24"/>
        </w:rPr>
        <w:t xml:space="preserve"> te je analizirano prikupljanje i </w:t>
      </w:r>
      <w:r w:rsidR="00A13FD6" w:rsidRPr="00A13FD6">
        <w:rPr>
          <w:rFonts w:cs="Times New Roman"/>
          <w:szCs w:val="24"/>
        </w:rPr>
        <w:t>zbrinjavanj</w:t>
      </w:r>
      <w:r w:rsidR="00A13FD6">
        <w:rPr>
          <w:rFonts w:cs="Times New Roman"/>
          <w:szCs w:val="24"/>
        </w:rPr>
        <w:t xml:space="preserve">e </w:t>
      </w:r>
      <w:r w:rsidR="00A13FD6" w:rsidRPr="00A13FD6">
        <w:rPr>
          <w:rFonts w:cs="Times New Roman"/>
          <w:szCs w:val="24"/>
        </w:rPr>
        <w:t>otpada s plovila</w:t>
      </w:r>
      <w:r w:rsidR="00A13FD6">
        <w:rPr>
          <w:rFonts w:cs="Times New Roman"/>
          <w:szCs w:val="24"/>
        </w:rPr>
        <w:t xml:space="preserve"> na razini Europske unije. U poglavlju 2.2. </w:t>
      </w:r>
      <w:r w:rsidR="00E76832">
        <w:rPr>
          <w:rFonts w:cs="Times New Roman"/>
          <w:szCs w:val="24"/>
        </w:rPr>
        <w:t xml:space="preserve">prikazani su </w:t>
      </w:r>
      <w:r w:rsidR="00CE515A">
        <w:rPr>
          <w:rFonts w:cs="Times New Roman"/>
          <w:szCs w:val="24"/>
        </w:rPr>
        <w:t xml:space="preserve">najvažniji rezultati </w:t>
      </w:r>
      <w:r w:rsidR="00CE515A" w:rsidRPr="00CE515A">
        <w:rPr>
          <w:rFonts w:cs="Times New Roman"/>
          <w:szCs w:val="24"/>
        </w:rPr>
        <w:t>Priručnik</w:t>
      </w:r>
      <w:r w:rsidR="00CE515A">
        <w:rPr>
          <w:rFonts w:cs="Times New Roman"/>
          <w:szCs w:val="24"/>
        </w:rPr>
        <w:t>a</w:t>
      </w:r>
      <w:r w:rsidR="00CE515A" w:rsidRPr="00CE515A">
        <w:rPr>
          <w:rFonts w:cs="Times New Roman"/>
          <w:szCs w:val="24"/>
        </w:rPr>
        <w:t xml:space="preserve"> o eksternim troškovima prometa</w:t>
      </w:r>
      <w:r w:rsidR="00CE515A">
        <w:rPr>
          <w:rFonts w:cs="Times New Roman"/>
          <w:szCs w:val="24"/>
        </w:rPr>
        <w:t>, izdanog od strane Europske komisije</w:t>
      </w:r>
      <w:r w:rsidR="001A0638">
        <w:rPr>
          <w:rFonts w:cs="Times New Roman"/>
          <w:szCs w:val="24"/>
        </w:rPr>
        <w:t xml:space="preserve"> te je analiziran postojeći pravni okvir u Republici Hrvatskoj vezan uz </w:t>
      </w:r>
      <w:r w:rsidR="001A0638" w:rsidRPr="001A0638">
        <w:rPr>
          <w:rFonts w:cs="Times New Roman"/>
          <w:szCs w:val="24"/>
        </w:rPr>
        <w:t>područje eksternih troškova</w:t>
      </w:r>
      <w:r w:rsidR="00AF149F" w:rsidRPr="00AF149F">
        <w:rPr>
          <w:rFonts w:cs="Times New Roman"/>
        </w:rPr>
        <w:t xml:space="preserve"> </w:t>
      </w:r>
      <w:r w:rsidR="00AF149F" w:rsidRPr="0000287E">
        <w:rPr>
          <w:rFonts w:cs="Times New Roman"/>
        </w:rPr>
        <w:t>u prometu</w:t>
      </w:r>
      <w:r w:rsidR="00AF149F">
        <w:rPr>
          <w:rFonts w:cs="Times New Roman"/>
        </w:rPr>
        <w:t xml:space="preserve">. </w:t>
      </w:r>
    </w:p>
    <w:p w14:paraId="650AF0BE" w14:textId="77777777" w:rsidR="004F76A1" w:rsidRPr="0000287E" w:rsidRDefault="004F76A1" w:rsidP="004F76A1">
      <w:pPr>
        <w:spacing w:line="259" w:lineRule="auto"/>
        <w:jc w:val="left"/>
        <w:rPr>
          <w:rFonts w:cs="Times New Roman"/>
          <w:szCs w:val="24"/>
        </w:rPr>
      </w:pPr>
      <w:r w:rsidRPr="0000287E">
        <w:rPr>
          <w:rFonts w:cs="Times New Roman"/>
          <w:szCs w:val="24"/>
        </w:rPr>
        <w:br w:type="page"/>
      </w:r>
    </w:p>
    <w:p w14:paraId="6FC28542" w14:textId="77777777" w:rsidR="004F76A1" w:rsidRPr="0000287E" w:rsidRDefault="004F76A1" w:rsidP="004F76A1">
      <w:pPr>
        <w:pStyle w:val="Heading1"/>
        <w:rPr>
          <w:rFonts w:cs="Times New Roman"/>
        </w:rPr>
      </w:pPr>
      <w:bookmarkStart w:id="3" w:name="_Toc39140497"/>
      <w:bookmarkStart w:id="4" w:name="_Toc69744650"/>
      <w:bookmarkStart w:id="5" w:name="_Toc106968086"/>
      <w:r w:rsidRPr="0000287E">
        <w:rPr>
          <w:rFonts w:cs="Times New Roman"/>
        </w:rPr>
        <w:lastRenderedPageBreak/>
        <w:t>Metode valorizacije eksternih troškova i politika naplate korištenja infrastrukture u riječnom prometu</w:t>
      </w:r>
      <w:bookmarkEnd w:id="3"/>
      <w:bookmarkEnd w:id="4"/>
      <w:bookmarkEnd w:id="5"/>
    </w:p>
    <w:p w14:paraId="147F25D2" w14:textId="77777777" w:rsidR="004F76A1" w:rsidRPr="0000287E" w:rsidRDefault="004F76A1" w:rsidP="004F76A1">
      <w:pPr>
        <w:pStyle w:val="Heading2"/>
        <w:rPr>
          <w:rFonts w:cs="Times New Roman"/>
        </w:rPr>
      </w:pPr>
      <w:bookmarkStart w:id="6" w:name="_Toc39140498"/>
      <w:bookmarkStart w:id="7" w:name="_Toc69744651"/>
      <w:bookmarkStart w:id="8" w:name="_Toc106968087"/>
      <w:r w:rsidRPr="0000287E">
        <w:rPr>
          <w:rFonts w:cs="Times New Roman"/>
        </w:rPr>
        <w:t>Politika naplate korištenja infrastrukture u riječnom prometu</w:t>
      </w:r>
      <w:bookmarkEnd w:id="6"/>
      <w:bookmarkEnd w:id="7"/>
      <w:bookmarkEnd w:id="8"/>
    </w:p>
    <w:p w14:paraId="6CDAB20B" w14:textId="77777777" w:rsidR="004F76A1" w:rsidRPr="0000287E" w:rsidRDefault="004F76A1" w:rsidP="004F76A1">
      <w:pPr>
        <w:rPr>
          <w:rFonts w:cs="Times New Roman"/>
        </w:rPr>
      </w:pPr>
      <w:r w:rsidRPr="0000287E">
        <w:rPr>
          <w:rFonts w:eastAsia="Times New Roman" w:cs="Times New Roman"/>
          <w:lang w:eastAsia="hr-HR"/>
        </w:rPr>
        <w:t xml:space="preserve">U pogledu troškova za prometnu infrastrukturu općenito se razlikuju troškovi izgradnje, obnove i održavanja te operativni troškovi, granični troškovi i eksterni (vanjski) troškovi. U kontekstu Bijele knjige </w:t>
      </w:r>
      <w:r w:rsidRPr="0000287E">
        <w:rPr>
          <w:rFonts w:cs="Times New Roman"/>
        </w:rPr>
        <w:t>o budućnosti prometa u razdoblju do 2050. naslovljenu „Plan za jedinstveni europski prometni prostor – ususret konkurentnom prometnom sustavu u kojem se učinkovito gospodari resursima” (COM(2011)0144), donesena je Rezolucija Europskog parlamenta od 14. prosinca 2017. o Europskoj strategiji za mobilnost s niskom razinom emisije. Njome se, između ostalog, predviđa da svaki način prijevoza treba pokriti svoje granične troškove i za trošenje infrastrukture (načelo „korisnik plaća”) i za vanjske troškove, npr. za onečišćenje zraka i onečišćenje bukom (načelo „onečišćivač plaća”) te se smatra da će primjena tih dvaju načela u cijeloj EU pomoći pri rješavanju nejednakosti u naplati među različitim načinima prijevoza.</w:t>
      </w:r>
    </w:p>
    <w:p w14:paraId="1CED3826" w14:textId="68ACB1B6" w:rsidR="004F76A1" w:rsidRPr="0000287E" w:rsidRDefault="004F76A1" w:rsidP="004F76A1">
      <w:pPr>
        <w:rPr>
          <w:rFonts w:cs="Times New Roman"/>
        </w:rPr>
      </w:pPr>
      <w:r w:rsidRPr="0000287E">
        <w:rPr>
          <w:rFonts w:cs="Times New Roman"/>
        </w:rPr>
        <w:t xml:space="preserve">2019. godine Europska komisija objavila je rezultate studije o održivoj naplati prometne infrastrukture i internalizaciji prometnih eksternalija, a u sklopu koje je ocijenjena primjena načela „korisnik plaća“ i „onečišćivač plaća“ u EU zemljama i odabranim trećim zemljama. Studija je pokazala da se načelo „korisnik plaća“ vrlo ograničeno primjenjuje u EU te da je pokriće infrastrukturnih troškova putem direktne naplate korisnicima ili kroz poreznu politiku još uvijek nisko za sve prometne modove, osim </w:t>
      </w:r>
      <w:r w:rsidR="00607A3D">
        <w:rPr>
          <w:rFonts w:cs="Times New Roman"/>
        </w:rPr>
        <w:t xml:space="preserve">za </w:t>
      </w:r>
      <w:r w:rsidRPr="0000287E">
        <w:rPr>
          <w:rFonts w:cs="Times New Roman"/>
        </w:rPr>
        <w:t>zračni i pomorski promet.</w:t>
      </w:r>
    </w:p>
    <w:p w14:paraId="538FCFDD" w14:textId="77777777" w:rsidR="004F76A1" w:rsidRPr="0000287E" w:rsidRDefault="004F76A1" w:rsidP="004F76A1">
      <w:pPr>
        <w:pStyle w:val="Caption"/>
        <w:keepNext/>
        <w:jc w:val="center"/>
        <w:rPr>
          <w:rFonts w:ascii="Times New Roman" w:hAnsi="Times New Roman" w:cs="Times New Roman"/>
        </w:rPr>
      </w:pPr>
      <w:r w:rsidRPr="0000287E">
        <w:rPr>
          <w:rFonts w:ascii="Times New Roman" w:hAnsi="Times New Roman" w:cs="Times New Roman"/>
        </w:rPr>
        <w:t xml:space="preserve">Tablica </w:t>
      </w:r>
      <w:r w:rsidRPr="0000287E">
        <w:rPr>
          <w:rFonts w:ascii="Times New Roman" w:hAnsi="Times New Roman" w:cs="Times New Roman"/>
        </w:rPr>
        <w:fldChar w:fldCharType="begin"/>
      </w:r>
      <w:r w:rsidRPr="0000287E">
        <w:rPr>
          <w:rFonts w:ascii="Times New Roman" w:hAnsi="Times New Roman" w:cs="Times New Roman"/>
        </w:rPr>
        <w:instrText xml:space="preserve"> SEQ Tablica \* ARABIC </w:instrText>
      </w:r>
      <w:r w:rsidRPr="0000287E">
        <w:rPr>
          <w:rFonts w:ascii="Times New Roman" w:hAnsi="Times New Roman" w:cs="Times New Roman"/>
        </w:rPr>
        <w:fldChar w:fldCharType="separate"/>
      </w:r>
      <w:r>
        <w:rPr>
          <w:rFonts w:ascii="Times New Roman" w:hAnsi="Times New Roman" w:cs="Times New Roman"/>
          <w:noProof/>
        </w:rPr>
        <w:t>1</w:t>
      </w:r>
      <w:r w:rsidRPr="0000287E">
        <w:rPr>
          <w:rFonts w:ascii="Times New Roman" w:hAnsi="Times New Roman" w:cs="Times New Roman"/>
        </w:rPr>
        <w:fldChar w:fldCharType="end"/>
      </w:r>
      <w:r w:rsidRPr="0000287E">
        <w:rPr>
          <w:rFonts w:ascii="Times New Roman" w:hAnsi="Times New Roman" w:cs="Times New Roman"/>
        </w:rPr>
        <w:t>: Pokriće troškova po prometnim modovima i tipovima vozila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20"/>
        <w:gridCol w:w="3020"/>
        <w:gridCol w:w="3020"/>
      </w:tblGrid>
      <w:tr w:rsidR="004F76A1" w:rsidRPr="0000287E" w14:paraId="26A671FE" w14:textId="77777777" w:rsidTr="00DE2F58">
        <w:tc>
          <w:tcPr>
            <w:tcW w:w="3020" w:type="dxa"/>
            <w:shd w:val="clear" w:color="auto" w:fill="595959" w:themeFill="text1" w:themeFillTint="A6"/>
            <w:vAlign w:val="center"/>
          </w:tcPr>
          <w:p w14:paraId="4F2624C1" w14:textId="77777777" w:rsidR="004F76A1" w:rsidRPr="0000287E" w:rsidRDefault="004F76A1" w:rsidP="00DE2F58">
            <w:pPr>
              <w:jc w:val="center"/>
              <w:rPr>
                <w:rFonts w:cs="Times New Roman"/>
                <w:color w:val="FFFFFF" w:themeColor="background1"/>
                <w:sz w:val="21"/>
                <w:szCs w:val="21"/>
              </w:rPr>
            </w:pPr>
          </w:p>
        </w:tc>
        <w:tc>
          <w:tcPr>
            <w:tcW w:w="3020" w:type="dxa"/>
            <w:shd w:val="clear" w:color="auto" w:fill="595959" w:themeFill="text1" w:themeFillTint="A6"/>
            <w:vAlign w:val="center"/>
          </w:tcPr>
          <w:p w14:paraId="055CE74B" w14:textId="77777777" w:rsidR="004F76A1" w:rsidRPr="0000287E" w:rsidRDefault="004F76A1" w:rsidP="00DE2F58">
            <w:pPr>
              <w:jc w:val="center"/>
              <w:rPr>
                <w:rFonts w:cs="Times New Roman"/>
                <w:color w:val="FFFFFF" w:themeColor="background1"/>
                <w:sz w:val="21"/>
                <w:szCs w:val="21"/>
              </w:rPr>
            </w:pPr>
            <w:r w:rsidRPr="0000287E">
              <w:rPr>
                <w:rFonts w:cs="Times New Roman"/>
                <w:color w:val="FFFFFF" w:themeColor="background1"/>
                <w:sz w:val="21"/>
                <w:szCs w:val="21"/>
              </w:rPr>
              <w:t>Ukupno pokriće troškova</w:t>
            </w:r>
          </w:p>
        </w:tc>
        <w:tc>
          <w:tcPr>
            <w:tcW w:w="3020" w:type="dxa"/>
            <w:shd w:val="clear" w:color="auto" w:fill="595959" w:themeFill="text1" w:themeFillTint="A6"/>
            <w:vAlign w:val="center"/>
          </w:tcPr>
          <w:p w14:paraId="5821E04B" w14:textId="77777777" w:rsidR="004F76A1" w:rsidRPr="0000287E" w:rsidRDefault="004F76A1" w:rsidP="00DE2F58">
            <w:pPr>
              <w:jc w:val="center"/>
              <w:rPr>
                <w:rFonts w:cs="Times New Roman"/>
                <w:color w:val="FFFFFF" w:themeColor="background1"/>
                <w:sz w:val="21"/>
                <w:szCs w:val="21"/>
              </w:rPr>
            </w:pPr>
            <w:r w:rsidRPr="0000287E">
              <w:rPr>
                <w:rFonts w:cs="Times New Roman"/>
                <w:color w:val="FFFFFF" w:themeColor="background1"/>
                <w:sz w:val="21"/>
                <w:szCs w:val="21"/>
              </w:rPr>
              <w:t>Pokriće infrastrukturnih troškova</w:t>
            </w:r>
          </w:p>
        </w:tc>
      </w:tr>
      <w:tr w:rsidR="004F76A1" w:rsidRPr="0000287E" w14:paraId="11292A96" w14:textId="77777777" w:rsidTr="00DE2F58">
        <w:tc>
          <w:tcPr>
            <w:tcW w:w="9060" w:type="dxa"/>
            <w:gridSpan w:val="3"/>
            <w:vAlign w:val="center"/>
          </w:tcPr>
          <w:p w14:paraId="5A6FE175" w14:textId="77777777" w:rsidR="004F76A1" w:rsidRPr="0000287E" w:rsidRDefault="004F76A1" w:rsidP="00DE2F58">
            <w:pPr>
              <w:jc w:val="left"/>
              <w:rPr>
                <w:rFonts w:cs="Times New Roman"/>
                <w:b/>
                <w:bCs/>
                <w:sz w:val="21"/>
                <w:szCs w:val="21"/>
              </w:rPr>
            </w:pPr>
            <w:r w:rsidRPr="0000287E">
              <w:rPr>
                <w:rFonts w:cs="Times New Roman"/>
                <w:b/>
                <w:bCs/>
                <w:sz w:val="21"/>
                <w:szCs w:val="21"/>
              </w:rPr>
              <w:t>Putnički promet</w:t>
            </w:r>
          </w:p>
        </w:tc>
      </w:tr>
      <w:tr w:rsidR="004F76A1" w:rsidRPr="0000287E" w14:paraId="67C45EC2" w14:textId="77777777" w:rsidTr="00DE2F58">
        <w:tc>
          <w:tcPr>
            <w:tcW w:w="3020" w:type="dxa"/>
          </w:tcPr>
          <w:p w14:paraId="7353713D" w14:textId="77777777" w:rsidR="004F76A1" w:rsidRPr="0000287E" w:rsidRDefault="004F76A1" w:rsidP="00DE2F58">
            <w:pPr>
              <w:rPr>
                <w:rFonts w:cs="Times New Roman"/>
                <w:sz w:val="21"/>
                <w:szCs w:val="21"/>
              </w:rPr>
            </w:pPr>
            <w:r w:rsidRPr="0000287E">
              <w:rPr>
                <w:rFonts w:cs="Times New Roman"/>
                <w:sz w:val="21"/>
                <w:szCs w:val="21"/>
              </w:rPr>
              <w:t>Osobni automobil</w:t>
            </w:r>
          </w:p>
        </w:tc>
        <w:tc>
          <w:tcPr>
            <w:tcW w:w="3020" w:type="dxa"/>
            <w:vAlign w:val="center"/>
          </w:tcPr>
          <w:p w14:paraId="632C2C91" w14:textId="77777777" w:rsidR="004F76A1" w:rsidRPr="0000287E" w:rsidRDefault="004F76A1" w:rsidP="00DE2F58">
            <w:pPr>
              <w:jc w:val="center"/>
              <w:rPr>
                <w:rFonts w:cs="Times New Roman"/>
                <w:sz w:val="21"/>
                <w:szCs w:val="21"/>
              </w:rPr>
            </w:pPr>
            <w:r w:rsidRPr="0000287E">
              <w:rPr>
                <w:rFonts w:cs="Times New Roman"/>
                <w:sz w:val="21"/>
                <w:szCs w:val="21"/>
              </w:rPr>
              <w:t>51%</w:t>
            </w:r>
          </w:p>
        </w:tc>
        <w:tc>
          <w:tcPr>
            <w:tcW w:w="3020" w:type="dxa"/>
            <w:vAlign w:val="center"/>
          </w:tcPr>
          <w:p w14:paraId="30B696CF" w14:textId="77777777" w:rsidR="004F76A1" w:rsidRPr="0000287E" w:rsidRDefault="004F76A1" w:rsidP="00DE2F58">
            <w:pPr>
              <w:jc w:val="center"/>
              <w:rPr>
                <w:rFonts w:cs="Times New Roman"/>
                <w:sz w:val="21"/>
                <w:szCs w:val="21"/>
              </w:rPr>
            </w:pPr>
            <w:r w:rsidRPr="0000287E">
              <w:rPr>
                <w:rFonts w:cs="Times New Roman"/>
                <w:sz w:val="21"/>
                <w:szCs w:val="21"/>
              </w:rPr>
              <w:t>27%</w:t>
            </w:r>
          </w:p>
        </w:tc>
      </w:tr>
      <w:tr w:rsidR="004F76A1" w:rsidRPr="0000287E" w14:paraId="07C6A35A" w14:textId="77777777" w:rsidTr="00DE2F58">
        <w:tc>
          <w:tcPr>
            <w:tcW w:w="3020" w:type="dxa"/>
          </w:tcPr>
          <w:p w14:paraId="73743754" w14:textId="77777777" w:rsidR="004F76A1" w:rsidRPr="0000287E" w:rsidRDefault="004F76A1" w:rsidP="00DE2F58">
            <w:pPr>
              <w:rPr>
                <w:rFonts w:cs="Times New Roman"/>
                <w:sz w:val="21"/>
                <w:szCs w:val="21"/>
              </w:rPr>
            </w:pPr>
            <w:r w:rsidRPr="0000287E">
              <w:rPr>
                <w:rFonts w:cs="Times New Roman"/>
                <w:sz w:val="21"/>
                <w:szCs w:val="21"/>
              </w:rPr>
              <w:t>Autobus</w:t>
            </w:r>
          </w:p>
        </w:tc>
        <w:tc>
          <w:tcPr>
            <w:tcW w:w="3020" w:type="dxa"/>
            <w:vAlign w:val="center"/>
          </w:tcPr>
          <w:p w14:paraId="4C7B7F36" w14:textId="77777777" w:rsidR="004F76A1" w:rsidRPr="0000287E" w:rsidRDefault="004F76A1" w:rsidP="00DE2F58">
            <w:pPr>
              <w:jc w:val="center"/>
              <w:rPr>
                <w:rFonts w:cs="Times New Roman"/>
                <w:sz w:val="21"/>
                <w:szCs w:val="21"/>
              </w:rPr>
            </w:pPr>
            <w:r w:rsidRPr="0000287E">
              <w:rPr>
                <w:rFonts w:cs="Times New Roman"/>
                <w:sz w:val="21"/>
                <w:szCs w:val="21"/>
              </w:rPr>
              <w:t>17%</w:t>
            </w:r>
          </w:p>
        </w:tc>
        <w:tc>
          <w:tcPr>
            <w:tcW w:w="3020" w:type="dxa"/>
            <w:vAlign w:val="center"/>
          </w:tcPr>
          <w:p w14:paraId="38CC1176" w14:textId="77777777" w:rsidR="004F76A1" w:rsidRPr="0000287E" w:rsidRDefault="004F76A1" w:rsidP="00DE2F58">
            <w:pPr>
              <w:jc w:val="center"/>
              <w:rPr>
                <w:rFonts w:cs="Times New Roman"/>
                <w:sz w:val="21"/>
                <w:szCs w:val="21"/>
              </w:rPr>
            </w:pPr>
            <w:r w:rsidRPr="0000287E">
              <w:rPr>
                <w:rFonts w:cs="Times New Roman"/>
                <w:sz w:val="21"/>
                <w:szCs w:val="21"/>
              </w:rPr>
              <w:t>3%</w:t>
            </w:r>
          </w:p>
        </w:tc>
      </w:tr>
      <w:tr w:rsidR="004F76A1" w:rsidRPr="0000287E" w14:paraId="1DDC5D11" w14:textId="77777777" w:rsidTr="00DE2F58">
        <w:tc>
          <w:tcPr>
            <w:tcW w:w="3020" w:type="dxa"/>
          </w:tcPr>
          <w:p w14:paraId="6A75721C" w14:textId="77777777" w:rsidR="004F76A1" w:rsidRPr="0000287E" w:rsidRDefault="004F76A1" w:rsidP="00DE2F58">
            <w:pPr>
              <w:rPr>
                <w:rFonts w:cs="Times New Roman"/>
                <w:sz w:val="21"/>
                <w:szCs w:val="21"/>
              </w:rPr>
            </w:pPr>
            <w:r w:rsidRPr="0000287E">
              <w:rPr>
                <w:rFonts w:cs="Times New Roman"/>
                <w:sz w:val="21"/>
                <w:szCs w:val="21"/>
              </w:rPr>
              <w:t>Motocikl</w:t>
            </w:r>
          </w:p>
        </w:tc>
        <w:tc>
          <w:tcPr>
            <w:tcW w:w="3020" w:type="dxa"/>
            <w:vAlign w:val="center"/>
          </w:tcPr>
          <w:p w14:paraId="36A781C7" w14:textId="77777777" w:rsidR="004F76A1" w:rsidRPr="0000287E" w:rsidRDefault="004F76A1" w:rsidP="00DE2F58">
            <w:pPr>
              <w:jc w:val="center"/>
              <w:rPr>
                <w:rFonts w:cs="Times New Roman"/>
                <w:sz w:val="21"/>
                <w:szCs w:val="21"/>
              </w:rPr>
            </w:pPr>
            <w:r w:rsidRPr="0000287E">
              <w:rPr>
                <w:rFonts w:cs="Times New Roman"/>
                <w:sz w:val="21"/>
                <w:szCs w:val="21"/>
              </w:rPr>
              <w:t>19%</w:t>
            </w:r>
          </w:p>
        </w:tc>
        <w:tc>
          <w:tcPr>
            <w:tcW w:w="3020" w:type="dxa"/>
            <w:vAlign w:val="center"/>
          </w:tcPr>
          <w:p w14:paraId="532A6E75" w14:textId="77777777" w:rsidR="004F76A1" w:rsidRPr="0000287E" w:rsidRDefault="004F76A1" w:rsidP="00DE2F58">
            <w:pPr>
              <w:jc w:val="center"/>
              <w:rPr>
                <w:rFonts w:cs="Times New Roman"/>
                <w:sz w:val="21"/>
                <w:szCs w:val="21"/>
              </w:rPr>
            </w:pPr>
            <w:r w:rsidRPr="0000287E">
              <w:rPr>
                <w:rFonts w:cs="Times New Roman"/>
                <w:sz w:val="21"/>
                <w:szCs w:val="21"/>
              </w:rPr>
              <w:t>3%</w:t>
            </w:r>
          </w:p>
        </w:tc>
      </w:tr>
      <w:tr w:rsidR="004F76A1" w:rsidRPr="0000287E" w14:paraId="4158D6CA" w14:textId="77777777" w:rsidTr="00DE2F58">
        <w:tc>
          <w:tcPr>
            <w:tcW w:w="3020" w:type="dxa"/>
          </w:tcPr>
          <w:p w14:paraId="29EB117F" w14:textId="77777777" w:rsidR="004F76A1" w:rsidRPr="0000287E" w:rsidRDefault="004F76A1" w:rsidP="00DE2F58">
            <w:pPr>
              <w:rPr>
                <w:rFonts w:cs="Times New Roman"/>
                <w:sz w:val="21"/>
                <w:szCs w:val="21"/>
              </w:rPr>
            </w:pPr>
            <w:r w:rsidRPr="0000287E">
              <w:rPr>
                <w:rFonts w:cs="Times New Roman"/>
                <w:sz w:val="21"/>
                <w:szCs w:val="21"/>
              </w:rPr>
              <w:t>Brza željeznica</w:t>
            </w:r>
          </w:p>
        </w:tc>
        <w:tc>
          <w:tcPr>
            <w:tcW w:w="3020" w:type="dxa"/>
            <w:vAlign w:val="center"/>
          </w:tcPr>
          <w:p w14:paraId="3A0AF114" w14:textId="77777777" w:rsidR="004F76A1" w:rsidRPr="0000287E" w:rsidRDefault="004F76A1" w:rsidP="00DE2F58">
            <w:pPr>
              <w:jc w:val="center"/>
              <w:rPr>
                <w:rFonts w:cs="Times New Roman"/>
                <w:sz w:val="21"/>
                <w:szCs w:val="21"/>
              </w:rPr>
            </w:pPr>
            <w:r w:rsidRPr="0000287E">
              <w:rPr>
                <w:rFonts w:cs="Times New Roman"/>
                <w:sz w:val="21"/>
                <w:szCs w:val="21"/>
              </w:rPr>
              <w:t>26%</w:t>
            </w:r>
          </w:p>
        </w:tc>
        <w:tc>
          <w:tcPr>
            <w:tcW w:w="3020" w:type="dxa"/>
            <w:vAlign w:val="center"/>
          </w:tcPr>
          <w:p w14:paraId="50CF7218" w14:textId="77777777" w:rsidR="004F76A1" w:rsidRPr="0000287E" w:rsidRDefault="004F76A1" w:rsidP="00DE2F58">
            <w:pPr>
              <w:jc w:val="center"/>
              <w:rPr>
                <w:rFonts w:cs="Times New Roman"/>
                <w:sz w:val="21"/>
                <w:szCs w:val="21"/>
              </w:rPr>
            </w:pPr>
            <w:r w:rsidRPr="0000287E">
              <w:rPr>
                <w:rFonts w:cs="Times New Roman"/>
                <w:sz w:val="21"/>
                <w:szCs w:val="21"/>
              </w:rPr>
              <w:t>28%</w:t>
            </w:r>
          </w:p>
        </w:tc>
      </w:tr>
      <w:tr w:rsidR="004F76A1" w:rsidRPr="0000287E" w14:paraId="7D9D211A" w14:textId="77777777" w:rsidTr="00DE2F58">
        <w:tc>
          <w:tcPr>
            <w:tcW w:w="3020" w:type="dxa"/>
          </w:tcPr>
          <w:p w14:paraId="0834D595" w14:textId="77777777" w:rsidR="004F76A1" w:rsidRPr="0000287E" w:rsidRDefault="004F76A1" w:rsidP="00DE2F58">
            <w:pPr>
              <w:rPr>
                <w:rFonts w:cs="Times New Roman"/>
                <w:sz w:val="21"/>
                <w:szCs w:val="21"/>
              </w:rPr>
            </w:pPr>
            <w:r w:rsidRPr="0000287E">
              <w:rPr>
                <w:rFonts w:cs="Times New Roman"/>
                <w:sz w:val="21"/>
                <w:szCs w:val="21"/>
              </w:rPr>
              <w:t>Električni putnički vlak</w:t>
            </w:r>
          </w:p>
        </w:tc>
        <w:tc>
          <w:tcPr>
            <w:tcW w:w="3020" w:type="dxa"/>
            <w:vAlign w:val="center"/>
          </w:tcPr>
          <w:p w14:paraId="6DF27291" w14:textId="77777777" w:rsidR="004F76A1" w:rsidRPr="0000287E" w:rsidRDefault="004F76A1" w:rsidP="00DE2F58">
            <w:pPr>
              <w:jc w:val="center"/>
              <w:rPr>
                <w:rFonts w:cs="Times New Roman"/>
                <w:sz w:val="21"/>
                <w:szCs w:val="21"/>
              </w:rPr>
            </w:pPr>
            <w:r w:rsidRPr="0000287E">
              <w:rPr>
                <w:rFonts w:cs="Times New Roman"/>
                <w:sz w:val="21"/>
                <w:szCs w:val="21"/>
              </w:rPr>
              <w:t>16%</w:t>
            </w:r>
          </w:p>
        </w:tc>
        <w:tc>
          <w:tcPr>
            <w:tcW w:w="3020" w:type="dxa"/>
            <w:vAlign w:val="center"/>
          </w:tcPr>
          <w:p w14:paraId="092222C9" w14:textId="77777777" w:rsidR="004F76A1" w:rsidRPr="0000287E" w:rsidRDefault="004F76A1" w:rsidP="00DE2F58">
            <w:pPr>
              <w:jc w:val="center"/>
              <w:rPr>
                <w:rFonts w:cs="Times New Roman"/>
                <w:sz w:val="21"/>
                <w:szCs w:val="21"/>
              </w:rPr>
            </w:pPr>
            <w:r w:rsidRPr="0000287E">
              <w:rPr>
                <w:rFonts w:cs="Times New Roman"/>
                <w:sz w:val="21"/>
                <w:szCs w:val="21"/>
              </w:rPr>
              <w:t>19%</w:t>
            </w:r>
          </w:p>
        </w:tc>
      </w:tr>
      <w:tr w:rsidR="004F76A1" w:rsidRPr="0000287E" w14:paraId="0EF9AF14" w14:textId="77777777" w:rsidTr="00DE2F58">
        <w:tc>
          <w:tcPr>
            <w:tcW w:w="3020" w:type="dxa"/>
          </w:tcPr>
          <w:p w14:paraId="100BE978" w14:textId="77777777" w:rsidR="004F76A1" w:rsidRPr="0000287E" w:rsidRDefault="004F76A1" w:rsidP="00DE2F58">
            <w:pPr>
              <w:rPr>
                <w:rFonts w:cs="Times New Roman"/>
                <w:sz w:val="21"/>
                <w:szCs w:val="21"/>
              </w:rPr>
            </w:pPr>
            <w:r w:rsidRPr="0000287E">
              <w:rPr>
                <w:rFonts w:cs="Times New Roman"/>
                <w:sz w:val="21"/>
                <w:szCs w:val="21"/>
              </w:rPr>
              <w:t>Dizelski putnički vlak</w:t>
            </w:r>
          </w:p>
        </w:tc>
        <w:tc>
          <w:tcPr>
            <w:tcW w:w="3020" w:type="dxa"/>
            <w:vAlign w:val="center"/>
          </w:tcPr>
          <w:p w14:paraId="3408605C" w14:textId="77777777" w:rsidR="004F76A1" w:rsidRPr="0000287E" w:rsidRDefault="004F76A1" w:rsidP="00DE2F58">
            <w:pPr>
              <w:jc w:val="center"/>
              <w:rPr>
                <w:rFonts w:cs="Times New Roman"/>
                <w:sz w:val="21"/>
                <w:szCs w:val="21"/>
              </w:rPr>
            </w:pPr>
            <w:r w:rsidRPr="0000287E">
              <w:rPr>
                <w:rFonts w:cs="Times New Roman"/>
                <w:sz w:val="21"/>
                <w:szCs w:val="21"/>
              </w:rPr>
              <w:t>22%</w:t>
            </w:r>
          </w:p>
        </w:tc>
        <w:tc>
          <w:tcPr>
            <w:tcW w:w="3020" w:type="dxa"/>
            <w:vAlign w:val="center"/>
          </w:tcPr>
          <w:p w14:paraId="40657300" w14:textId="77777777" w:rsidR="004F76A1" w:rsidRPr="0000287E" w:rsidRDefault="004F76A1" w:rsidP="00DE2F58">
            <w:pPr>
              <w:jc w:val="center"/>
              <w:rPr>
                <w:rFonts w:cs="Times New Roman"/>
                <w:sz w:val="21"/>
                <w:szCs w:val="21"/>
              </w:rPr>
            </w:pPr>
            <w:r w:rsidRPr="0000287E">
              <w:rPr>
                <w:rFonts w:cs="Times New Roman"/>
                <w:sz w:val="21"/>
                <w:szCs w:val="21"/>
              </w:rPr>
              <w:t>16%</w:t>
            </w:r>
          </w:p>
        </w:tc>
      </w:tr>
      <w:tr w:rsidR="004F76A1" w:rsidRPr="0000287E" w14:paraId="6396F77B" w14:textId="77777777" w:rsidTr="00DE2F58">
        <w:tc>
          <w:tcPr>
            <w:tcW w:w="3020" w:type="dxa"/>
          </w:tcPr>
          <w:p w14:paraId="1BBE5135" w14:textId="77777777" w:rsidR="004F76A1" w:rsidRPr="0000287E" w:rsidRDefault="004F76A1" w:rsidP="00DE2F58">
            <w:pPr>
              <w:rPr>
                <w:rFonts w:cs="Times New Roman"/>
                <w:sz w:val="21"/>
                <w:szCs w:val="21"/>
              </w:rPr>
            </w:pPr>
            <w:r w:rsidRPr="0000287E">
              <w:rPr>
                <w:rFonts w:cs="Times New Roman"/>
                <w:sz w:val="21"/>
                <w:szCs w:val="21"/>
              </w:rPr>
              <w:t>Zrakoplov</w:t>
            </w:r>
          </w:p>
        </w:tc>
        <w:tc>
          <w:tcPr>
            <w:tcW w:w="3020" w:type="dxa"/>
            <w:vAlign w:val="center"/>
          </w:tcPr>
          <w:p w14:paraId="6F3E27E8" w14:textId="77777777" w:rsidR="004F76A1" w:rsidRPr="0000287E" w:rsidRDefault="004F76A1" w:rsidP="00DE2F58">
            <w:pPr>
              <w:jc w:val="center"/>
              <w:rPr>
                <w:rFonts w:cs="Times New Roman"/>
                <w:sz w:val="21"/>
                <w:szCs w:val="21"/>
              </w:rPr>
            </w:pPr>
            <w:r w:rsidRPr="0000287E">
              <w:rPr>
                <w:rFonts w:cs="Times New Roman"/>
                <w:sz w:val="21"/>
                <w:szCs w:val="21"/>
              </w:rPr>
              <w:t>34%</w:t>
            </w:r>
          </w:p>
        </w:tc>
        <w:tc>
          <w:tcPr>
            <w:tcW w:w="3020" w:type="dxa"/>
            <w:vAlign w:val="center"/>
          </w:tcPr>
          <w:p w14:paraId="3E8DDE53" w14:textId="77777777" w:rsidR="004F76A1" w:rsidRPr="0000287E" w:rsidRDefault="004F76A1" w:rsidP="00DE2F58">
            <w:pPr>
              <w:jc w:val="center"/>
              <w:rPr>
                <w:rFonts w:cs="Times New Roman"/>
                <w:sz w:val="21"/>
                <w:szCs w:val="21"/>
              </w:rPr>
            </w:pPr>
            <w:r w:rsidRPr="0000287E">
              <w:rPr>
                <w:rFonts w:cs="Times New Roman"/>
                <w:sz w:val="21"/>
                <w:szCs w:val="21"/>
              </w:rPr>
              <w:t>82%</w:t>
            </w:r>
          </w:p>
        </w:tc>
      </w:tr>
      <w:tr w:rsidR="004F76A1" w:rsidRPr="0000287E" w14:paraId="0E88DE60" w14:textId="77777777" w:rsidTr="00DE2F58">
        <w:tc>
          <w:tcPr>
            <w:tcW w:w="9060" w:type="dxa"/>
            <w:gridSpan w:val="3"/>
            <w:vAlign w:val="center"/>
          </w:tcPr>
          <w:p w14:paraId="31A12804" w14:textId="77777777" w:rsidR="004F76A1" w:rsidRPr="0000287E" w:rsidRDefault="004F76A1" w:rsidP="00DE2F58">
            <w:pPr>
              <w:jc w:val="left"/>
              <w:rPr>
                <w:rFonts w:cs="Times New Roman"/>
                <w:b/>
                <w:bCs/>
                <w:sz w:val="21"/>
                <w:szCs w:val="21"/>
              </w:rPr>
            </w:pPr>
            <w:r w:rsidRPr="0000287E">
              <w:rPr>
                <w:rFonts w:cs="Times New Roman"/>
                <w:b/>
                <w:bCs/>
                <w:sz w:val="21"/>
                <w:szCs w:val="21"/>
              </w:rPr>
              <w:t>Teretni promet</w:t>
            </w:r>
          </w:p>
        </w:tc>
      </w:tr>
      <w:tr w:rsidR="004F76A1" w:rsidRPr="0000287E" w14:paraId="339FE77F" w14:textId="77777777" w:rsidTr="00DE2F58">
        <w:tc>
          <w:tcPr>
            <w:tcW w:w="3020" w:type="dxa"/>
          </w:tcPr>
          <w:p w14:paraId="33C7AFD7" w14:textId="77777777" w:rsidR="004F76A1" w:rsidRPr="0000287E" w:rsidRDefault="004F76A1" w:rsidP="00DE2F58">
            <w:pPr>
              <w:rPr>
                <w:rFonts w:cs="Times New Roman"/>
                <w:sz w:val="21"/>
                <w:szCs w:val="21"/>
              </w:rPr>
            </w:pPr>
            <w:r w:rsidRPr="0000287E">
              <w:rPr>
                <w:rFonts w:cs="Times New Roman"/>
                <w:sz w:val="21"/>
                <w:szCs w:val="21"/>
              </w:rPr>
              <w:t>Teška vozila</w:t>
            </w:r>
          </w:p>
        </w:tc>
        <w:tc>
          <w:tcPr>
            <w:tcW w:w="3020" w:type="dxa"/>
            <w:vAlign w:val="center"/>
          </w:tcPr>
          <w:p w14:paraId="0EB18FF8" w14:textId="77777777" w:rsidR="004F76A1" w:rsidRPr="0000287E" w:rsidRDefault="004F76A1" w:rsidP="00DE2F58">
            <w:pPr>
              <w:jc w:val="center"/>
              <w:rPr>
                <w:rFonts w:cs="Times New Roman"/>
                <w:sz w:val="21"/>
                <w:szCs w:val="21"/>
              </w:rPr>
            </w:pPr>
            <w:r w:rsidRPr="0000287E">
              <w:rPr>
                <w:rFonts w:cs="Times New Roman"/>
                <w:sz w:val="21"/>
                <w:szCs w:val="21"/>
              </w:rPr>
              <w:t>26%</w:t>
            </w:r>
          </w:p>
        </w:tc>
        <w:tc>
          <w:tcPr>
            <w:tcW w:w="3020" w:type="dxa"/>
            <w:vAlign w:val="center"/>
          </w:tcPr>
          <w:p w14:paraId="4CECCDCC" w14:textId="77777777" w:rsidR="004F76A1" w:rsidRPr="0000287E" w:rsidRDefault="004F76A1" w:rsidP="00DE2F58">
            <w:pPr>
              <w:jc w:val="center"/>
              <w:rPr>
                <w:rFonts w:cs="Times New Roman"/>
                <w:sz w:val="21"/>
                <w:szCs w:val="21"/>
              </w:rPr>
            </w:pPr>
            <w:r w:rsidRPr="0000287E">
              <w:rPr>
                <w:rFonts w:cs="Times New Roman"/>
                <w:sz w:val="21"/>
                <w:szCs w:val="21"/>
              </w:rPr>
              <w:t>14%</w:t>
            </w:r>
          </w:p>
        </w:tc>
      </w:tr>
      <w:tr w:rsidR="004F76A1" w:rsidRPr="0000287E" w14:paraId="5C3898A1" w14:textId="77777777" w:rsidTr="00DE2F58">
        <w:tc>
          <w:tcPr>
            <w:tcW w:w="3020" w:type="dxa"/>
          </w:tcPr>
          <w:p w14:paraId="1880CB8E" w14:textId="77777777" w:rsidR="004F76A1" w:rsidRPr="0000287E" w:rsidRDefault="004F76A1" w:rsidP="00DE2F58">
            <w:pPr>
              <w:rPr>
                <w:rFonts w:cs="Times New Roman"/>
                <w:sz w:val="21"/>
                <w:szCs w:val="21"/>
              </w:rPr>
            </w:pPr>
            <w:r w:rsidRPr="0000287E">
              <w:rPr>
                <w:rFonts w:cs="Times New Roman"/>
                <w:sz w:val="21"/>
                <w:szCs w:val="21"/>
              </w:rPr>
              <w:t>Električni teretni vlak</w:t>
            </w:r>
          </w:p>
        </w:tc>
        <w:tc>
          <w:tcPr>
            <w:tcW w:w="3020" w:type="dxa"/>
            <w:vAlign w:val="center"/>
          </w:tcPr>
          <w:p w14:paraId="200DC6F4" w14:textId="77777777" w:rsidR="004F76A1" w:rsidRPr="0000287E" w:rsidRDefault="004F76A1" w:rsidP="00DE2F58">
            <w:pPr>
              <w:jc w:val="center"/>
              <w:rPr>
                <w:rFonts w:cs="Times New Roman"/>
                <w:sz w:val="21"/>
                <w:szCs w:val="21"/>
              </w:rPr>
            </w:pPr>
            <w:r w:rsidRPr="0000287E">
              <w:rPr>
                <w:rFonts w:cs="Times New Roman"/>
                <w:sz w:val="21"/>
                <w:szCs w:val="21"/>
              </w:rPr>
              <w:t>12%</w:t>
            </w:r>
          </w:p>
        </w:tc>
        <w:tc>
          <w:tcPr>
            <w:tcW w:w="3020" w:type="dxa"/>
            <w:vAlign w:val="center"/>
          </w:tcPr>
          <w:p w14:paraId="4B96333D" w14:textId="77777777" w:rsidR="004F76A1" w:rsidRPr="0000287E" w:rsidRDefault="004F76A1" w:rsidP="00DE2F58">
            <w:pPr>
              <w:jc w:val="center"/>
              <w:rPr>
                <w:rFonts w:cs="Times New Roman"/>
                <w:sz w:val="21"/>
                <w:szCs w:val="21"/>
              </w:rPr>
            </w:pPr>
            <w:r w:rsidRPr="0000287E">
              <w:rPr>
                <w:rFonts w:cs="Times New Roman"/>
                <w:sz w:val="21"/>
                <w:szCs w:val="21"/>
              </w:rPr>
              <w:t>16%</w:t>
            </w:r>
          </w:p>
        </w:tc>
      </w:tr>
      <w:tr w:rsidR="004F76A1" w:rsidRPr="0000287E" w14:paraId="10986562" w14:textId="77777777" w:rsidTr="00DE2F58">
        <w:tc>
          <w:tcPr>
            <w:tcW w:w="3020" w:type="dxa"/>
          </w:tcPr>
          <w:p w14:paraId="024440CB" w14:textId="77777777" w:rsidR="004F76A1" w:rsidRPr="0000287E" w:rsidRDefault="004F76A1" w:rsidP="00DE2F58">
            <w:pPr>
              <w:rPr>
                <w:rFonts w:cs="Times New Roman"/>
                <w:sz w:val="21"/>
                <w:szCs w:val="21"/>
              </w:rPr>
            </w:pPr>
            <w:r w:rsidRPr="0000287E">
              <w:rPr>
                <w:rFonts w:cs="Times New Roman"/>
                <w:sz w:val="21"/>
                <w:szCs w:val="21"/>
              </w:rPr>
              <w:t>Dizelski teretni vlak</w:t>
            </w:r>
          </w:p>
        </w:tc>
        <w:tc>
          <w:tcPr>
            <w:tcW w:w="3020" w:type="dxa"/>
            <w:vAlign w:val="center"/>
          </w:tcPr>
          <w:p w14:paraId="0F76593B" w14:textId="77777777" w:rsidR="004F76A1" w:rsidRPr="0000287E" w:rsidRDefault="004F76A1" w:rsidP="00DE2F58">
            <w:pPr>
              <w:jc w:val="center"/>
              <w:rPr>
                <w:rFonts w:cs="Times New Roman"/>
                <w:sz w:val="21"/>
                <w:szCs w:val="21"/>
              </w:rPr>
            </w:pPr>
            <w:r w:rsidRPr="0000287E">
              <w:rPr>
                <w:rFonts w:cs="Times New Roman"/>
                <w:sz w:val="21"/>
                <w:szCs w:val="21"/>
              </w:rPr>
              <w:t>26%</w:t>
            </w:r>
          </w:p>
        </w:tc>
        <w:tc>
          <w:tcPr>
            <w:tcW w:w="3020" w:type="dxa"/>
            <w:vAlign w:val="center"/>
          </w:tcPr>
          <w:p w14:paraId="4A49E9BA" w14:textId="77777777" w:rsidR="004F76A1" w:rsidRPr="0000287E" w:rsidRDefault="004F76A1" w:rsidP="00DE2F58">
            <w:pPr>
              <w:jc w:val="center"/>
              <w:rPr>
                <w:rFonts w:cs="Times New Roman"/>
                <w:sz w:val="21"/>
                <w:szCs w:val="21"/>
              </w:rPr>
            </w:pPr>
            <w:r w:rsidRPr="0000287E">
              <w:rPr>
                <w:rFonts w:cs="Times New Roman"/>
                <w:sz w:val="21"/>
                <w:szCs w:val="21"/>
              </w:rPr>
              <w:t>25%</w:t>
            </w:r>
          </w:p>
        </w:tc>
      </w:tr>
      <w:tr w:rsidR="004F76A1" w:rsidRPr="0000287E" w14:paraId="3CC3DEBD" w14:textId="77777777" w:rsidTr="00DE2F58">
        <w:tc>
          <w:tcPr>
            <w:tcW w:w="3020" w:type="dxa"/>
            <w:shd w:val="clear" w:color="auto" w:fill="C5E0B3" w:themeFill="accent6" w:themeFillTint="66"/>
          </w:tcPr>
          <w:p w14:paraId="417607CA" w14:textId="77777777" w:rsidR="004F76A1" w:rsidRPr="0000287E" w:rsidRDefault="004F76A1" w:rsidP="00DE2F58">
            <w:pPr>
              <w:rPr>
                <w:rFonts w:cs="Times New Roman"/>
                <w:sz w:val="21"/>
                <w:szCs w:val="21"/>
              </w:rPr>
            </w:pPr>
            <w:r w:rsidRPr="0000287E">
              <w:rPr>
                <w:rFonts w:cs="Times New Roman"/>
                <w:sz w:val="21"/>
                <w:szCs w:val="21"/>
              </w:rPr>
              <w:t>Riječna plovila</w:t>
            </w:r>
          </w:p>
        </w:tc>
        <w:tc>
          <w:tcPr>
            <w:tcW w:w="3020" w:type="dxa"/>
            <w:shd w:val="clear" w:color="auto" w:fill="C5E0B3" w:themeFill="accent6" w:themeFillTint="66"/>
            <w:vAlign w:val="center"/>
          </w:tcPr>
          <w:p w14:paraId="6815AA25" w14:textId="77777777" w:rsidR="004F76A1" w:rsidRPr="0000287E" w:rsidRDefault="004F76A1" w:rsidP="00DE2F58">
            <w:pPr>
              <w:jc w:val="center"/>
              <w:rPr>
                <w:rFonts w:cs="Times New Roman"/>
                <w:sz w:val="21"/>
                <w:szCs w:val="21"/>
              </w:rPr>
            </w:pPr>
            <w:r w:rsidRPr="0000287E">
              <w:rPr>
                <w:rFonts w:cs="Times New Roman"/>
                <w:sz w:val="21"/>
                <w:szCs w:val="21"/>
              </w:rPr>
              <w:t>6%</w:t>
            </w:r>
          </w:p>
        </w:tc>
        <w:tc>
          <w:tcPr>
            <w:tcW w:w="3020" w:type="dxa"/>
            <w:shd w:val="clear" w:color="auto" w:fill="C5E0B3" w:themeFill="accent6" w:themeFillTint="66"/>
            <w:vAlign w:val="center"/>
          </w:tcPr>
          <w:p w14:paraId="222D3E83" w14:textId="77777777" w:rsidR="004F76A1" w:rsidRPr="0000287E" w:rsidRDefault="004F76A1" w:rsidP="00DE2F58">
            <w:pPr>
              <w:jc w:val="center"/>
              <w:rPr>
                <w:rFonts w:cs="Times New Roman"/>
                <w:sz w:val="21"/>
                <w:szCs w:val="21"/>
              </w:rPr>
            </w:pPr>
            <w:r w:rsidRPr="0000287E">
              <w:rPr>
                <w:rFonts w:cs="Times New Roman"/>
                <w:sz w:val="21"/>
                <w:szCs w:val="21"/>
              </w:rPr>
              <w:t>12%</w:t>
            </w:r>
          </w:p>
        </w:tc>
      </w:tr>
      <w:tr w:rsidR="004F76A1" w:rsidRPr="0000287E" w14:paraId="50C737A8" w14:textId="77777777" w:rsidTr="00DE2F58">
        <w:tc>
          <w:tcPr>
            <w:tcW w:w="3020" w:type="dxa"/>
          </w:tcPr>
          <w:p w14:paraId="4144C683" w14:textId="77777777" w:rsidR="004F76A1" w:rsidRPr="0000287E" w:rsidRDefault="004F76A1" w:rsidP="00DE2F58">
            <w:pPr>
              <w:rPr>
                <w:rFonts w:cs="Times New Roman"/>
                <w:sz w:val="21"/>
                <w:szCs w:val="21"/>
              </w:rPr>
            </w:pPr>
            <w:r w:rsidRPr="0000287E">
              <w:rPr>
                <w:rFonts w:cs="Times New Roman"/>
                <w:sz w:val="21"/>
                <w:szCs w:val="21"/>
              </w:rPr>
              <w:t>Pomorska plovila</w:t>
            </w:r>
          </w:p>
        </w:tc>
        <w:tc>
          <w:tcPr>
            <w:tcW w:w="3020" w:type="dxa"/>
            <w:vAlign w:val="center"/>
          </w:tcPr>
          <w:p w14:paraId="06805EDE" w14:textId="77777777" w:rsidR="004F76A1" w:rsidRPr="0000287E" w:rsidRDefault="004F76A1" w:rsidP="00DE2F58">
            <w:pPr>
              <w:jc w:val="center"/>
              <w:rPr>
                <w:rFonts w:cs="Times New Roman"/>
                <w:sz w:val="21"/>
                <w:szCs w:val="21"/>
              </w:rPr>
            </w:pPr>
            <w:r w:rsidRPr="0000287E">
              <w:rPr>
                <w:rFonts w:cs="Times New Roman"/>
                <w:sz w:val="21"/>
                <w:szCs w:val="21"/>
              </w:rPr>
              <w:t>4%</w:t>
            </w:r>
          </w:p>
        </w:tc>
        <w:tc>
          <w:tcPr>
            <w:tcW w:w="3020" w:type="dxa"/>
            <w:vAlign w:val="center"/>
          </w:tcPr>
          <w:p w14:paraId="05C424DF" w14:textId="77777777" w:rsidR="004F76A1" w:rsidRPr="0000287E" w:rsidRDefault="004F76A1" w:rsidP="00DE2F58">
            <w:pPr>
              <w:jc w:val="center"/>
              <w:rPr>
                <w:rFonts w:cs="Times New Roman"/>
                <w:sz w:val="21"/>
                <w:szCs w:val="21"/>
              </w:rPr>
            </w:pPr>
            <w:r w:rsidRPr="0000287E">
              <w:rPr>
                <w:rFonts w:cs="Times New Roman"/>
                <w:sz w:val="21"/>
                <w:szCs w:val="21"/>
              </w:rPr>
              <w:t>127%</w:t>
            </w:r>
          </w:p>
        </w:tc>
      </w:tr>
    </w:tbl>
    <w:p w14:paraId="05AF0E2A" w14:textId="77777777" w:rsidR="004F76A1" w:rsidRPr="0000287E" w:rsidRDefault="004F76A1" w:rsidP="004F76A1">
      <w:pPr>
        <w:spacing w:before="240"/>
        <w:jc w:val="center"/>
        <w:rPr>
          <w:rFonts w:cs="Times New Roman"/>
          <w:b/>
          <w:bCs/>
          <w:sz w:val="20"/>
          <w:szCs w:val="20"/>
        </w:rPr>
      </w:pPr>
      <w:r w:rsidRPr="0000287E">
        <w:rPr>
          <w:rFonts w:cs="Times New Roman"/>
          <w:b/>
          <w:bCs/>
          <w:sz w:val="20"/>
          <w:szCs w:val="20"/>
        </w:rPr>
        <w:t xml:space="preserve">Izvor: Europska komisija, izvadak iz studije </w:t>
      </w:r>
      <w:r w:rsidRPr="0000287E">
        <w:rPr>
          <w:rFonts w:cs="Times New Roman"/>
          <w:b/>
          <w:bCs/>
          <w:i/>
          <w:iCs/>
          <w:sz w:val="20"/>
          <w:szCs w:val="20"/>
        </w:rPr>
        <w:t>Sustainable Transport Infrastructure Charging and Internalisation of Transport Externalities: Executive summary</w:t>
      </w:r>
      <w:r w:rsidRPr="0000287E">
        <w:rPr>
          <w:rFonts w:cs="Times New Roman"/>
          <w:b/>
          <w:bCs/>
          <w:sz w:val="20"/>
          <w:szCs w:val="20"/>
        </w:rPr>
        <w:t>, 2019</w:t>
      </w:r>
    </w:p>
    <w:p w14:paraId="27BF047A" w14:textId="77777777" w:rsidR="004F76A1" w:rsidRPr="0000287E" w:rsidRDefault="004F76A1" w:rsidP="004F76A1">
      <w:pPr>
        <w:rPr>
          <w:rFonts w:eastAsia="Times New Roman" w:cs="Times New Roman"/>
          <w:lang w:eastAsia="hr-HR"/>
        </w:rPr>
      </w:pPr>
      <w:r w:rsidRPr="0000287E">
        <w:rPr>
          <w:rFonts w:eastAsia="Times New Roman" w:cs="Times New Roman"/>
          <w:lang w:eastAsia="hr-HR"/>
        </w:rPr>
        <w:t xml:space="preserve">Vidljivo je da je na EU razini omjer infrastrukturnih troškova i naplate korištenja infrastrukture, bilo kroz poreznu politiku bilo kroz direktnu naplatu korisnicima, najniži u sektoru unutarnje plovidbe. Studija je pokazala da su u zračnom i pomorskom prometu prihodi općenito dostatni za pokriće troškova. U cestovnom prometu se u većini zemalja naplaćuje pristup i korištenje </w:t>
      </w:r>
      <w:r w:rsidRPr="0000287E">
        <w:rPr>
          <w:rFonts w:eastAsia="Times New Roman" w:cs="Times New Roman"/>
          <w:lang w:eastAsia="hr-HR"/>
        </w:rPr>
        <w:lastRenderedPageBreak/>
        <w:t>cesta kroz korištenje vinjeta i cestarina, dok se pristup infrastrukturi u željezničkom prometnu naplaćuje u svim zemljama, a primjenjuju se i porezi na gorivo. U slučaju unutarnje plovidbe, uglavnom se naplaćuju samo lučke naknade.</w:t>
      </w:r>
    </w:p>
    <w:p w14:paraId="661B7E08" w14:textId="76B56D6A" w:rsidR="004F76A1" w:rsidRPr="0000287E" w:rsidRDefault="004F76A1" w:rsidP="004F76A1">
      <w:pPr>
        <w:rPr>
          <w:rFonts w:eastAsia="Times New Roman" w:cs="Times New Roman"/>
          <w:lang w:eastAsia="hr-HR"/>
        </w:rPr>
      </w:pPr>
      <w:r w:rsidRPr="0000287E">
        <w:rPr>
          <w:rFonts w:eastAsia="Times New Roman" w:cs="Times New Roman"/>
          <w:lang w:eastAsia="hr-HR"/>
        </w:rPr>
        <w:t xml:space="preserve">U Republici Hrvatskoj se u sektoru unutarnje plovidbe primjenjuje politika naplate i korištenja infrastrukture u kontekstu Bijele knjige europske prometne politike i načela „korisnik plaća“ također samo za lučke naknade. U hrvatskim lukama na unutarnjim vodama naplata korištenja infrastrukture provodi se putem lučkih naknada koje su propisane Zakonom o plovidbi i lukama unutarnjih voda </w:t>
      </w:r>
      <w:r w:rsidRPr="0000287E">
        <w:rPr>
          <w:rFonts w:cs="Times New Roman"/>
        </w:rPr>
        <w:t xml:space="preserve">(NN </w:t>
      </w:r>
      <w:r w:rsidR="006237C6">
        <w:rPr>
          <w:rFonts w:cs="Times New Roman"/>
        </w:rPr>
        <w:t xml:space="preserve">144/21) </w:t>
      </w:r>
      <w:r w:rsidRPr="0000287E">
        <w:rPr>
          <w:rFonts w:eastAsia="Times New Roman" w:cs="Times New Roman"/>
          <w:lang w:eastAsia="hr-HR"/>
        </w:rPr>
        <w:t xml:space="preserve">gdje stoji kako se obavljanje javne službe financira iz sredstava lučkih naknada te kako se za korištenje luka i pristaništa plaćaju lučke naknade koje čine lučke pristojbe i naknade za koncesiju. Lučke pristojbe plaća brodar plovila koje koristi luku ili pristanište, a naknadu za koncesiju plaća lučki operater i/ili lučki korisnik sukladno ugovoru o koncesiji. Lučke pristojbe i koncesijske naknade prihod su lučkih uprava i služe za održavanje postojeće infrastrukture u lukama i pristaništima. </w:t>
      </w:r>
    </w:p>
    <w:p w14:paraId="47BEDE36" w14:textId="77777777" w:rsidR="004F76A1" w:rsidRPr="0000287E" w:rsidRDefault="004F76A1" w:rsidP="004F76A1">
      <w:pPr>
        <w:rPr>
          <w:rFonts w:eastAsia="Times New Roman" w:cs="Times New Roman"/>
          <w:lang w:eastAsia="hr-HR"/>
        </w:rPr>
      </w:pPr>
      <w:r w:rsidRPr="0000287E">
        <w:rPr>
          <w:rFonts w:eastAsia="Times New Roman" w:cs="Times New Roman"/>
          <w:lang w:eastAsia="hr-HR"/>
        </w:rPr>
        <w:t xml:space="preserve">U pogledu prikupljanja i zbrinjavanja otpada s plovila već godinama postoji suradnja zapadnoeuropskih zemalja rajnskog sliva koje su potpisnice Konvencije o prikupljanju, odlaganju i prihvatu otpada nastalog tijekom plovidbe na Rajni i unutarnjim plovnim putovima (Njemačka, Francuska, Belgija, Nizozemska, Luksemburg i Švicarska). Tom konvencijom uspostavljen je specifičan način plaćanja zbrinjavanja otpada s plovila po načelu “onečišćivač plaća” i to na način da se prihvat i zbrinjavanje otpada plaća kroz univerzalnu naknadu prilikom opskrbe plovila gorivom (takozvani </w:t>
      </w:r>
      <w:r w:rsidRPr="0000287E">
        <w:rPr>
          <w:rFonts w:eastAsia="Times New Roman" w:cs="Times New Roman"/>
          <w:b/>
          <w:bCs/>
          <w:lang w:eastAsia="hr-HR"/>
        </w:rPr>
        <w:t>rajnski model</w:t>
      </w:r>
      <w:r w:rsidRPr="0000287E">
        <w:rPr>
          <w:rFonts w:eastAsia="Times New Roman" w:cs="Times New Roman"/>
          <w:lang w:eastAsia="hr-HR"/>
        </w:rPr>
        <w:t xml:space="preserve">). S druge strane, razvoj jedinstvenog </w:t>
      </w:r>
      <w:r w:rsidRPr="0000287E">
        <w:rPr>
          <w:rFonts w:eastAsia="Times New Roman" w:cs="Times New Roman"/>
          <w:b/>
          <w:bCs/>
          <w:lang w:eastAsia="hr-HR"/>
        </w:rPr>
        <w:t>dunavskog modela</w:t>
      </w:r>
      <w:r w:rsidRPr="0000287E">
        <w:rPr>
          <w:rFonts w:eastAsia="Times New Roman" w:cs="Times New Roman"/>
          <w:lang w:eastAsia="hr-HR"/>
        </w:rPr>
        <w:t xml:space="preserve"> je u tijeku. Naime, za rijeku Dunav postoje dvije inicijative: jedna je primjena rajnskog modela koja je diskutabilna u kontekstu velikih socio-ekonomskih razlika među pojedinim podunavskim zemljama (što nije slučaj među zapadnim zemljama) i gdje bi ovaj model predstavljao značajne izdatke za brodare; druga je model naplate putem vinjeta gdje bi se naplata vršila putem jedinstvenog modela i zbrinjavanje bi bilo uključeno u cijenu vinjeta. Pri tome bi se prihodi od vinjeta razmjerno dijelili među državama. Prethodno su, kako bi se analizirali modeli primjene načela „onečišćivač plaća“ te pripremio okvir za međunarodnu suradnju u pogledu korištenja i naplate infrastrukture za zbrinjavanje otpada s plovila na rijeci Dunav, provedeni neki važni projekti u kojima je sudjelovala i Lučka uprava Vukovar u sklopu programa South East Europe. Značajan doprinos za uređenje ovih pitanja ostvaren je provedbom projekata WANDA (Waste management for Inlanad Navigation on the Danube) i CO-WANDA (Convention for Waste Management for Inland Navigation on the Danube). U sklopu projekta </w:t>
      </w:r>
      <w:r w:rsidRPr="0000287E">
        <w:rPr>
          <w:rFonts w:eastAsia="Times New Roman" w:cs="Times New Roman"/>
          <w:b/>
          <w:bCs/>
          <w:lang w:eastAsia="hr-HR"/>
        </w:rPr>
        <w:t>WANDA</w:t>
      </w:r>
      <w:r w:rsidRPr="0000287E">
        <w:rPr>
          <w:rFonts w:eastAsia="Times New Roman" w:cs="Times New Roman"/>
          <w:lang w:eastAsia="hr-HR"/>
        </w:rPr>
        <w:t xml:space="preserve"> (2009.- 2012. godine) pripremljen je koncept upravljanja otpadom s brodova, implementirane su pilot aktivnosti za prikupljanje opasnog i neopasnog otpada s brodova te su izvršene pripreme za razvijanje i primjenu međunarodnog modela financiranja za zauljeni i zamašćeni otpad s brodova. Kao nastavak tog projekta, u sklopu projekta </w:t>
      </w:r>
      <w:r w:rsidRPr="0000287E">
        <w:rPr>
          <w:rFonts w:eastAsia="Times New Roman" w:cs="Times New Roman"/>
          <w:b/>
          <w:bCs/>
          <w:lang w:eastAsia="hr-HR"/>
        </w:rPr>
        <w:t>CO-WANDA</w:t>
      </w:r>
      <w:r w:rsidRPr="0000287E">
        <w:rPr>
          <w:rFonts w:eastAsia="Times New Roman" w:cs="Times New Roman"/>
          <w:lang w:eastAsia="hr-HR"/>
        </w:rPr>
        <w:t xml:space="preserve"> (2012. – 2014. godine) izrađen je međunarodni unificirani akt kao podloga za buduću međunarodnu konvenciju za zbrinjavanje otpada s brodova u unutarnjoj plovidbi. Posebnu pozornost obratilo se na modele financiranja, odnosno naplate zbrinjavanja otpada s plovila te se u tom pogledu istaknuo koncept naplate zbrinjavanja otpada s plovila korištenjem elektroničkih vinjeta. Takav model naplate uzima u obzir vrstu otpada koji se zbrinjava, ali i različite kategorije plovila, što su ključni parametri za određivanje troška. </w:t>
      </w:r>
    </w:p>
    <w:p w14:paraId="005F8747" w14:textId="77777777" w:rsidR="004F76A1" w:rsidRPr="0000287E" w:rsidRDefault="004F76A1" w:rsidP="004F76A1">
      <w:pPr>
        <w:rPr>
          <w:rFonts w:eastAsia="Times New Roman" w:cs="Times New Roman"/>
          <w:lang w:eastAsia="hr-HR"/>
        </w:rPr>
      </w:pPr>
      <w:r w:rsidRPr="0000287E">
        <w:rPr>
          <w:rFonts w:eastAsia="Times New Roman" w:cs="Times New Roman"/>
          <w:lang w:eastAsia="hr-HR"/>
        </w:rPr>
        <w:lastRenderedPageBreak/>
        <w:t xml:space="preserve">Premda su prethodno navedenim projektima učinjeni značajni koraci za napredak u uređenju pitanja zbrinjavanja otpada na unificiran način među zemljama dunavskog sliva, nije postignut konačan dogovor na međunarodnoj razini, odnosno model za naplatu zbrinjavanja otpada s plovila nije odabran. Trenutno je zemljama prepušteno da ovo pitanje urede same na nacionalnoj razini, no daljnja suradnja prema uspostavi međunarodnog pristupa primjenjivog na sve zemlje i sa zajedničkim ciljevima u pogledu zbrinjavanja otpada s plovila bit će nastavljena kroz nove partnerske projekte. Dobra prilika za takvu suradnju su projekti transnacionalne suradnje (INTERREG projekti) te projekti koji mogu biti sufinancirani kroz instrument Europske komisije Obzor Europa. </w:t>
      </w:r>
    </w:p>
    <w:p w14:paraId="6BD5511C" w14:textId="056525D3" w:rsidR="004F76A1" w:rsidRPr="0000287E" w:rsidRDefault="004F76A1" w:rsidP="004F76A1">
      <w:pPr>
        <w:pStyle w:val="Heading2"/>
        <w:rPr>
          <w:rFonts w:cs="Times New Roman"/>
        </w:rPr>
      </w:pPr>
      <w:bookmarkStart w:id="9" w:name="_Toc39140499"/>
      <w:bookmarkStart w:id="10" w:name="_Toc39144721"/>
      <w:bookmarkStart w:id="11" w:name="_Toc39140500"/>
      <w:bookmarkStart w:id="12" w:name="_Toc39144722"/>
      <w:bookmarkStart w:id="13" w:name="_Toc39140501"/>
      <w:bookmarkStart w:id="14" w:name="_Toc39144723"/>
      <w:bookmarkStart w:id="15" w:name="_Toc39140502"/>
      <w:bookmarkStart w:id="16" w:name="_Toc39144724"/>
      <w:bookmarkStart w:id="17" w:name="_Toc39140503"/>
      <w:bookmarkStart w:id="18" w:name="_Toc39144725"/>
      <w:bookmarkStart w:id="19" w:name="_Toc39140504"/>
      <w:bookmarkStart w:id="20" w:name="_Toc39144726"/>
      <w:bookmarkStart w:id="21" w:name="_Toc39140505"/>
      <w:bookmarkStart w:id="22" w:name="_Toc39144727"/>
      <w:bookmarkStart w:id="23" w:name="_Toc39140506"/>
      <w:bookmarkStart w:id="24" w:name="_Toc39144728"/>
      <w:bookmarkStart w:id="25" w:name="_Toc39140507"/>
      <w:bookmarkStart w:id="26" w:name="_Toc39144729"/>
      <w:bookmarkStart w:id="27" w:name="_Toc39140508"/>
      <w:bookmarkStart w:id="28" w:name="_Toc39144730"/>
      <w:bookmarkStart w:id="29" w:name="_Toc39140509"/>
      <w:bookmarkStart w:id="30" w:name="_Toc39144731"/>
      <w:bookmarkStart w:id="31" w:name="_Toc39140510"/>
      <w:bookmarkStart w:id="32" w:name="_Toc39144732"/>
      <w:bookmarkStart w:id="33" w:name="_Toc39140511"/>
      <w:bookmarkStart w:id="34" w:name="_Toc39144733"/>
      <w:bookmarkStart w:id="35" w:name="_Toc39140512"/>
      <w:bookmarkStart w:id="36" w:name="_Toc69744652"/>
      <w:bookmarkStart w:id="37" w:name="_Toc10696808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00287E">
        <w:rPr>
          <w:rFonts w:cs="Times New Roman"/>
        </w:rPr>
        <w:t>Eksterni troškovi</w:t>
      </w:r>
      <w:bookmarkEnd w:id="35"/>
      <w:bookmarkEnd w:id="36"/>
      <w:bookmarkEnd w:id="37"/>
    </w:p>
    <w:p w14:paraId="7195805A" w14:textId="77777777" w:rsidR="004F76A1" w:rsidRPr="0000287E" w:rsidRDefault="004F76A1" w:rsidP="004F76A1">
      <w:pPr>
        <w:rPr>
          <w:rFonts w:cs="Times New Roman"/>
        </w:rPr>
      </w:pPr>
      <w:r w:rsidRPr="0000287E">
        <w:rPr>
          <w:rFonts w:cs="Times New Roman"/>
        </w:rPr>
        <w:t>Na razini Europske unije već se više od deset godina provode analize i izrađuju metodologije i paketi uputa vezano za valorizaciju eksternih troškova u prometu. Pod pojmom eksterni (vanjski) troškovi ili eksternalije podrazumijevaju se indirektni učinci prometnog sustava na društvo u cjelini koji se mogu kvantificirati, odnosno kojima je moguće pridružiti monetarnu vrijednost, te ih na taj način uključiti u formiranje cijene korištenja pojedine vrste prijevoza. Uključivanjem eksternih troškova u cijenu prijevoza mogu se promovirati vidovi prijevoza s manjim negativnim društvenim učincima (npr. s manjim učincima na onečišćenje okoliša, zdravlje ljudi i slično), a što je u skladu s principima „korisnik plaća“ i „onečišćivač plaća“ koji postaju sve važniji dio europskih politika. S druge strane, imajući u vidu kvantificiranu vrijednost pojedinog eksternog troška, donositelji javnih politika i zakonodavci mogu pripremiti javne politike i regulatorni okvir kojim se eksterni troškovi mogu adresirati, a u cilju umanjenja negativnih utjecaja na društvo i okoliš.</w:t>
      </w:r>
    </w:p>
    <w:p w14:paraId="0F69FB8D" w14:textId="77777777" w:rsidR="004F76A1" w:rsidRPr="0000287E" w:rsidRDefault="004F76A1" w:rsidP="004F76A1">
      <w:pPr>
        <w:spacing w:after="0"/>
        <w:rPr>
          <w:rFonts w:cs="Times New Roman"/>
        </w:rPr>
      </w:pPr>
      <w:r w:rsidRPr="0000287E">
        <w:rPr>
          <w:rFonts w:cs="Times New Roman"/>
        </w:rPr>
        <w:t>2008. godine je u svrhu valorizacije i internalizacije eksternih troškova Europska komisija objavila prvi Priručnik o eksternim troškovima prometa koji je sadržavao upute i najbolju praksu u pogledu metodologije za procjenu različitih kategorija eksternih troškova u sektoru prometa. Ta je verzija unaprijeđena 2014. godine i upotpunjena saznanjima iz novijih istraživanja te smjernicama novih politika. Od 2019. godine u upotrebi je trenutno važeća zadnja verzija Priručnika koja sadrži preporuke u pogledu korištenja metodologije valorizacije eksternih troškova te ulaznih i izlaznih vrijednosti eksternih troškova za sve transportne modove i sve kategorije eksternih troškova. Priručnik je namijenjen za korištenje na razini EU općenito te na razini pojedinih zemalja. Kategorije eksternih troškova prometa koje se obrađuju u predmetnom Priručniku su:</w:t>
      </w:r>
    </w:p>
    <w:p w14:paraId="6FE417A0" w14:textId="77777777" w:rsidR="004F76A1" w:rsidRPr="0000287E" w:rsidRDefault="004F76A1" w:rsidP="004F76A1">
      <w:pPr>
        <w:pStyle w:val="ListParagraph"/>
        <w:numPr>
          <w:ilvl w:val="0"/>
          <w:numId w:val="2"/>
        </w:numPr>
        <w:spacing w:after="0" w:line="240" w:lineRule="auto"/>
        <w:rPr>
          <w:rFonts w:ascii="Times New Roman" w:hAnsi="Times New Roman" w:cs="Times New Roman"/>
          <w:sz w:val="24"/>
          <w:szCs w:val="24"/>
        </w:rPr>
      </w:pPr>
      <w:r w:rsidRPr="0000287E">
        <w:rPr>
          <w:rFonts w:ascii="Times New Roman" w:hAnsi="Times New Roman" w:cs="Times New Roman"/>
          <w:sz w:val="24"/>
          <w:szCs w:val="24"/>
        </w:rPr>
        <w:t>Nesreće,</w:t>
      </w:r>
    </w:p>
    <w:p w14:paraId="1C6B594D" w14:textId="77777777" w:rsidR="004F76A1" w:rsidRPr="0000287E" w:rsidRDefault="004F76A1" w:rsidP="004F76A1">
      <w:pPr>
        <w:pStyle w:val="ListParagraph"/>
        <w:numPr>
          <w:ilvl w:val="0"/>
          <w:numId w:val="2"/>
        </w:numPr>
        <w:spacing w:after="0" w:line="240" w:lineRule="auto"/>
        <w:rPr>
          <w:rFonts w:ascii="Times New Roman" w:hAnsi="Times New Roman" w:cs="Times New Roman"/>
          <w:sz w:val="24"/>
          <w:szCs w:val="24"/>
        </w:rPr>
      </w:pPr>
      <w:r w:rsidRPr="0000287E">
        <w:rPr>
          <w:rFonts w:ascii="Times New Roman" w:hAnsi="Times New Roman" w:cs="Times New Roman"/>
          <w:sz w:val="24"/>
          <w:szCs w:val="24"/>
        </w:rPr>
        <w:t>Zagađenje zraka,</w:t>
      </w:r>
    </w:p>
    <w:p w14:paraId="5D4DA255" w14:textId="77777777" w:rsidR="004F76A1" w:rsidRPr="0000287E" w:rsidRDefault="004F76A1" w:rsidP="004F76A1">
      <w:pPr>
        <w:pStyle w:val="ListParagraph"/>
        <w:numPr>
          <w:ilvl w:val="0"/>
          <w:numId w:val="2"/>
        </w:numPr>
        <w:spacing w:after="0" w:line="240" w:lineRule="auto"/>
        <w:rPr>
          <w:rFonts w:ascii="Times New Roman" w:hAnsi="Times New Roman" w:cs="Times New Roman"/>
          <w:sz w:val="24"/>
          <w:szCs w:val="24"/>
        </w:rPr>
      </w:pPr>
      <w:r w:rsidRPr="0000287E">
        <w:rPr>
          <w:rFonts w:ascii="Times New Roman" w:hAnsi="Times New Roman" w:cs="Times New Roman"/>
          <w:sz w:val="24"/>
          <w:szCs w:val="24"/>
        </w:rPr>
        <w:t>Klimatske promjene,</w:t>
      </w:r>
    </w:p>
    <w:p w14:paraId="06597C09" w14:textId="77777777" w:rsidR="004F76A1" w:rsidRPr="0000287E" w:rsidRDefault="004F76A1" w:rsidP="004F76A1">
      <w:pPr>
        <w:pStyle w:val="ListParagraph"/>
        <w:numPr>
          <w:ilvl w:val="0"/>
          <w:numId w:val="2"/>
        </w:numPr>
        <w:spacing w:after="0" w:line="240" w:lineRule="auto"/>
        <w:rPr>
          <w:rFonts w:ascii="Times New Roman" w:hAnsi="Times New Roman" w:cs="Times New Roman"/>
          <w:sz w:val="24"/>
          <w:szCs w:val="24"/>
        </w:rPr>
      </w:pPr>
      <w:r w:rsidRPr="0000287E">
        <w:rPr>
          <w:rFonts w:ascii="Times New Roman" w:hAnsi="Times New Roman" w:cs="Times New Roman"/>
          <w:sz w:val="24"/>
          <w:szCs w:val="24"/>
        </w:rPr>
        <w:t>Buka,</w:t>
      </w:r>
    </w:p>
    <w:p w14:paraId="31F820FD" w14:textId="77777777" w:rsidR="004F76A1" w:rsidRPr="0000287E" w:rsidRDefault="004F76A1" w:rsidP="004F76A1">
      <w:pPr>
        <w:pStyle w:val="ListParagraph"/>
        <w:numPr>
          <w:ilvl w:val="0"/>
          <w:numId w:val="2"/>
        </w:numPr>
        <w:spacing w:after="0" w:line="240" w:lineRule="auto"/>
        <w:rPr>
          <w:rFonts w:ascii="Times New Roman" w:hAnsi="Times New Roman" w:cs="Times New Roman"/>
          <w:sz w:val="24"/>
          <w:szCs w:val="24"/>
        </w:rPr>
      </w:pPr>
      <w:r w:rsidRPr="0000287E">
        <w:rPr>
          <w:rFonts w:ascii="Times New Roman" w:hAnsi="Times New Roman" w:cs="Times New Roman"/>
          <w:sz w:val="24"/>
          <w:szCs w:val="24"/>
        </w:rPr>
        <w:t>Prometna zagušenja,</w:t>
      </w:r>
    </w:p>
    <w:p w14:paraId="17165AD6" w14:textId="77777777" w:rsidR="004F76A1" w:rsidRPr="0000287E" w:rsidRDefault="004F76A1" w:rsidP="004F76A1">
      <w:pPr>
        <w:pStyle w:val="ListParagraph"/>
        <w:numPr>
          <w:ilvl w:val="0"/>
          <w:numId w:val="2"/>
        </w:numPr>
        <w:spacing w:after="0" w:line="240" w:lineRule="auto"/>
        <w:rPr>
          <w:rFonts w:ascii="Times New Roman" w:hAnsi="Times New Roman" w:cs="Times New Roman"/>
          <w:sz w:val="24"/>
          <w:szCs w:val="24"/>
        </w:rPr>
      </w:pPr>
      <w:r w:rsidRPr="0000287E">
        <w:rPr>
          <w:rFonts w:ascii="Times New Roman" w:hAnsi="Times New Roman" w:cs="Times New Roman"/>
          <w:sz w:val="24"/>
          <w:szCs w:val="24"/>
        </w:rPr>
        <w:t xml:space="preserve">Emisije „od izvora do spremnika“ (eng. </w:t>
      </w:r>
      <w:r w:rsidRPr="0000287E">
        <w:rPr>
          <w:rFonts w:ascii="Times New Roman" w:hAnsi="Times New Roman" w:cs="Times New Roman"/>
          <w:i/>
          <w:iCs/>
          <w:sz w:val="24"/>
          <w:szCs w:val="24"/>
        </w:rPr>
        <w:t>Well-to-tank emissions)</w:t>
      </w:r>
      <w:r w:rsidRPr="0000287E">
        <w:rPr>
          <w:rStyle w:val="FootnoteReference"/>
          <w:rFonts w:ascii="Times New Roman" w:hAnsi="Times New Roman" w:cs="Times New Roman"/>
          <w:i/>
          <w:iCs/>
          <w:sz w:val="24"/>
          <w:szCs w:val="24"/>
        </w:rPr>
        <w:footnoteReference w:id="1"/>
      </w:r>
      <w:r w:rsidRPr="0000287E">
        <w:rPr>
          <w:rFonts w:ascii="Times New Roman" w:hAnsi="Times New Roman" w:cs="Times New Roman"/>
          <w:sz w:val="24"/>
          <w:szCs w:val="24"/>
        </w:rPr>
        <w:t xml:space="preserve">, </w:t>
      </w:r>
    </w:p>
    <w:p w14:paraId="4FA77DD0" w14:textId="77777777" w:rsidR="004F76A1" w:rsidRPr="0000287E" w:rsidRDefault="004F76A1" w:rsidP="004F76A1">
      <w:pPr>
        <w:pStyle w:val="ListParagraph"/>
        <w:numPr>
          <w:ilvl w:val="0"/>
          <w:numId w:val="2"/>
        </w:numPr>
        <w:spacing w:after="0" w:line="240" w:lineRule="auto"/>
        <w:rPr>
          <w:rFonts w:ascii="Times New Roman" w:hAnsi="Times New Roman" w:cs="Times New Roman"/>
          <w:sz w:val="24"/>
          <w:szCs w:val="24"/>
        </w:rPr>
      </w:pPr>
      <w:r w:rsidRPr="0000287E">
        <w:rPr>
          <w:rFonts w:ascii="Times New Roman" w:hAnsi="Times New Roman" w:cs="Times New Roman"/>
          <w:sz w:val="24"/>
          <w:szCs w:val="24"/>
        </w:rPr>
        <w:t>Narušavanje prirodnih staništa,</w:t>
      </w:r>
    </w:p>
    <w:p w14:paraId="679265A2" w14:textId="77777777" w:rsidR="004F76A1" w:rsidRPr="0000287E" w:rsidRDefault="004F76A1" w:rsidP="004F76A1">
      <w:pPr>
        <w:pStyle w:val="ListParagraph"/>
        <w:numPr>
          <w:ilvl w:val="0"/>
          <w:numId w:val="2"/>
        </w:numPr>
        <w:spacing w:line="240" w:lineRule="auto"/>
        <w:rPr>
          <w:rFonts w:ascii="Times New Roman" w:hAnsi="Times New Roman" w:cs="Times New Roman"/>
          <w:sz w:val="24"/>
          <w:szCs w:val="24"/>
        </w:rPr>
      </w:pPr>
      <w:r w:rsidRPr="0000287E">
        <w:rPr>
          <w:rFonts w:ascii="Times New Roman" w:hAnsi="Times New Roman" w:cs="Times New Roman"/>
          <w:sz w:val="24"/>
          <w:szCs w:val="24"/>
        </w:rPr>
        <w:t>Ostalo (npr. zagađenje tla i vode).</w:t>
      </w:r>
    </w:p>
    <w:p w14:paraId="7651E638" w14:textId="77777777" w:rsidR="004F76A1" w:rsidRPr="0000287E" w:rsidRDefault="004F76A1" w:rsidP="004F76A1">
      <w:pPr>
        <w:rPr>
          <w:rFonts w:cs="Times New Roman"/>
        </w:rPr>
      </w:pPr>
      <w:r w:rsidRPr="0000287E">
        <w:rPr>
          <w:rFonts w:cs="Times New Roman"/>
        </w:rPr>
        <w:lastRenderedPageBreak/>
        <w:t>Za svaku je kategoriju eksternog troška opisana metodologija izračuna s ulaznim vrijednostima, odnosno izvorima ulaznih vrijednosti uzetih u izračun, a u konačnici je analiza u sklopu Priručnika pokazala koliki su ukupni i prosječni eksterni troškovi na razini 2</w:t>
      </w:r>
      <w:r>
        <w:rPr>
          <w:rFonts w:cs="Times New Roman"/>
        </w:rPr>
        <w:t>7</w:t>
      </w:r>
      <w:r w:rsidRPr="0000287E">
        <w:rPr>
          <w:rFonts w:cs="Times New Roman"/>
        </w:rPr>
        <w:t xml:space="preserve"> članica Europske unije za pojedini prometni mod. Neki od rezultata analize prikazani su u tablicama niže.</w:t>
      </w:r>
    </w:p>
    <w:p w14:paraId="3EF9E18A" w14:textId="77777777" w:rsidR="004F76A1" w:rsidRPr="0000287E" w:rsidRDefault="004F76A1" w:rsidP="004F76A1">
      <w:pPr>
        <w:pStyle w:val="Caption"/>
        <w:keepNext/>
        <w:jc w:val="center"/>
        <w:rPr>
          <w:rFonts w:ascii="Times New Roman" w:hAnsi="Times New Roman" w:cs="Times New Roman"/>
        </w:rPr>
      </w:pPr>
      <w:bookmarkStart w:id="38" w:name="_Toc69744730"/>
      <w:r w:rsidRPr="0000287E">
        <w:rPr>
          <w:rFonts w:ascii="Times New Roman" w:hAnsi="Times New Roman" w:cs="Times New Roman"/>
        </w:rPr>
        <w:t xml:space="preserve">Tablica </w:t>
      </w:r>
      <w:r w:rsidRPr="0000287E">
        <w:rPr>
          <w:rFonts w:ascii="Times New Roman" w:hAnsi="Times New Roman" w:cs="Times New Roman"/>
          <w:noProof/>
        </w:rPr>
        <w:fldChar w:fldCharType="begin"/>
      </w:r>
      <w:r w:rsidRPr="0000287E">
        <w:rPr>
          <w:rFonts w:ascii="Times New Roman" w:hAnsi="Times New Roman" w:cs="Times New Roman"/>
          <w:noProof/>
        </w:rPr>
        <w:instrText xml:space="preserve"> SEQ Tablica \* ARABIC </w:instrText>
      </w:r>
      <w:r w:rsidRPr="0000287E">
        <w:rPr>
          <w:rFonts w:ascii="Times New Roman" w:hAnsi="Times New Roman" w:cs="Times New Roman"/>
        </w:rPr>
        <w:fldChar w:fldCharType="separate"/>
      </w:r>
      <w:r>
        <w:rPr>
          <w:rFonts w:ascii="Times New Roman" w:hAnsi="Times New Roman" w:cs="Times New Roman"/>
          <w:noProof/>
        </w:rPr>
        <w:t>2</w:t>
      </w:r>
      <w:r w:rsidRPr="0000287E">
        <w:rPr>
          <w:rFonts w:ascii="Times New Roman" w:hAnsi="Times New Roman" w:cs="Times New Roman"/>
          <w:noProof/>
        </w:rPr>
        <w:fldChar w:fldCharType="end"/>
      </w:r>
      <w:r w:rsidRPr="0000287E">
        <w:rPr>
          <w:rFonts w:ascii="Times New Roman" w:hAnsi="Times New Roman" w:cs="Times New Roman"/>
        </w:rPr>
        <w:t>: Ukupni i prosječni eksterni troškovi po prometnom modu</w:t>
      </w:r>
      <w:bookmarkEnd w:id="38"/>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20"/>
        <w:gridCol w:w="3020"/>
        <w:gridCol w:w="3020"/>
      </w:tblGrid>
      <w:tr w:rsidR="004F76A1" w:rsidRPr="0000287E" w14:paraId="71DAAE3B" w14:textId="77777777" w:rsidTr="00DE2F58">
        <w:tc>
          <w:tcPr>
            <w:tcW w:w="3020" w:type="dxa"/>
            <w:shd w:val="clear" w:color="auto" w:fill="595959" w:themeFill="text1" w:themeFillTint="A6"/>
            <w:vAlign w:val="center"/>
          </w:tcPr>
          <w:p w14:paraId="134E33E4" w14:textId="77777777" w:rsidR="004F76A1" w:rsidRPr="0000287E" w:rsidRDefault="004F76A1" w:rsidP="00DE2F58">
            <w:pPr>
              <w:jc w:val="center"/>
              <w:rPr>
                <w:rFonts w:cs="Times New Roman"/>
                <w:b/>
                <w:bCs/>
                <w:color w:val="FFFFFF" w:themeColor="background1"/>
                <w:sz w:val="21"/>
                <w:szCs w:val="21"/>
              </w:rPr>
            </w:pPr>
            <w:r w:rsidRPr="0000287E">
              <w:rPr>
                <w:rFonts w:cs="Times New Roman"/>
                <w:b/>
                <w:bCs/>
                <w:color w:val="FFFFFF" w:themeColor="background1"/>
                <w:sz w:val="21"/>
                <w:szCs w:val="21"/>
              </w:rPr>
              <w:t>Kategorija vozila</w:t>
            </w:r>
          </w:p>
        </w:tc>
        <w:tc>
          <w:tcPr>
            <w:tcW w:w="3020" w:type="dxa"/>
            <w:shd w:val="clear" w:color="auto" w:fill="595959" w:themeFill="text1" w:themeFillTint="A6"/>
            <w:vAlign w:val="center"/>
          </w:tcPr>
          <w:p w14:paraId="3A29739E" w14:textId="77777777" w:rsidR="004F76A1" w:rsidRPr="0000287E" w:rsidRDefault="004F76A1" w:rsidP="00DE2F58">
            <w:pPr>
              <w:jc w:val="center"/>
              <w:rPr>
                <w:rFonts w:cs="Times New Roman"/>
                <w:b/>
                <w:bCs/>
                <w:color w:val="FFFFFF" w:themeColor="background1"/>
                <w:sz w:val="21"/>
                <w:szCs w:val="21"/>
              </w:rPr>
            </w:pPr>
            <w:r w:rsidRPr="0000287E">
              <w:rPr>
                <w:rFonts w:cs="Times New Roman"/>
                <w:b/>
                <w:bCs/>
                <w:color w:val="FFFFFF" w:themeColor="background1"/>
                <w:sz w:val="21"/>
                <w:szCs w:val="21"/>
              </w:rPr>
              <w:t>Ukupni eksterni troškovi</w:t>
            </w:r>
          </w:p>
        </w:tc>
        <w:tc>
          <w:tcPr>
            <w:tcW w:w="3020" w:type="dxa"/>
            <w:shd w:val="clear" w:color="auto" w:fill="595959" w:themeFill="text1" w:themeFillTint="A6"/>
            <w:vAlign w:val="center"/>
          </w:tcPr>
          <w:p w14:paraId="63453A4E" w14:textId="77777777" w:rsidR="004F76A1" w:rsidRPr="0000287E" w:rsidRDefault="004F76A1" w:rsidP="00DE2F58">
            <w:pPr>
              <w:jc w:val="center"/>
              <w:rPr>
                <w:rFonts w:cs="Times New Roman"/>
                <w:b/>
                <w:bCs/>
                <w:color w:val="FFFFFF" w:themeColor="background1"/>
                <w:sz w:val="21"/>
                <w:szCs w:val="21"/>
              </w:rPr>
            </w:pPr>
            <w:r w:rsidRPr="0000287E">
              <w:rPr>
                <w:rFonts w:cs="Times New Roman"/>
                <w:b/>
                <w:bCs/>
                <w:color w:val="FFFFFF" w:themeColor="background1"/>
                <w:sz w:val="21"/>
                <w:szCs w:val="21"/>
              </w:rPr>
              <w:t>Prosječni eksterni troškovi</w:t>
            </w:r>
          </w:p>
        </w:tc>
      </w:tr>
      <w:tr w:rsidR="004F76A1" w:rsidRPr="0000287E" w14:paraId="0877F421" w14:textId="77777777" w:rsidTr="00DE2F58">
        <w:tc>
          <w:tcPr>
            <w:tcW w:w="3020" w:type="dxa"/>
          </w:tcPr>
          <w:p w14:paraId="6D5AFCD9" w14:textId="77777777" w:rsidR="004F76A1" w:rsidRPr="0000287E" w:rsidRDefault="004F76A1" w:rsidP="00DE2F58">
            <w:pPr>
              <w:rPr>
                <w:rFonts w:cs="Times New Roman"/>
                <w:b/>
                <w:bCs/>
                <w:sz w:val="21"/>
                <w:szCs w:val="21"/>
              </w:rPr>
            </w:pPr>
            <w:r w:rsidRPr="0000287E">
              <w:rPr>
                <w:rFonts w:cs="Times New Roman"/>
                <w:b/>
                <w:bCs/>
                <w:sz w:val="21"/>
                <w:szCs w:val="21"/>
              </w:rPr>
              <w:t>Putnički promet</w:t>
            </w:r>
          </w:p>
        </w:tc>
        <w:tc>
          <w:tcPr>
            <w:tcW w:w="3020" w:type="dxa"/>
            <w:vAlign w:val="center"/>
          </w:tcPr>
          <w:p w14:paraId="56A314EE" w14:textId="77777777" w:rsidR="004F76A1" w:rsidRPr="0000287E" w:rsidRDefault="004F76A1" w:rsidP="00DE2F58">
            <w:pPr>
              <w:jc w:val="right"/>
              <w:rPr>
                <w:rFonts w:cs="Times New Roman"/>
                <w:b/>
                <w:bCs/>
                <w:sz w:val="21"/>
                <w:szCs w:val="21"/>
              </w:rPr>
            </w:pPr>
            <w:r w:rsidRPr="0000287E">
              <w:rPr>
                <w:rFonts w:cs="Times New Roman"/>
                <w:b/>
                <w:bCs/>
                <w:sz w:val="21"/>
                <w:szCs w:val="21"/>
              </w:rPr>
              <w:t>Milijarde eur</w:t>
            </w:r>
          </w:p>
        </w:tc>
        <w:tc>
          <w:tcPr>
            <w:tcW w:w="3020" w:type="dxa"/>
            <w:vAlign w:val="center"/>
          </w:tcPr>
          <w:p w14:paraId="4966D14B" w14:textId="77777777" w:rsidR="004F76A1" w:rsidRPr="0000287E" w:rsidRDefault="004F76A1" w:rsidP="00DE2F58">
            <w:pPr>
              <w:jc w:val="right"/>
              <w:rPr>
                <w:rFonts w:cs="Times New Roman"/>
                <w:b/>
                <w:bCs/>
                <w:sz w:val="21"/>
                <w:szCs w:val="21"/>
              </w:rPr>
            </w:pPr>
            <w:r w:rsidRPr="0000287E">
              <w:rPr>
                <w:rFonts w:cs="Times New Roman"/>
                <w:b/>
                <w:bCs/>
                <w:sz w:val="21"/>
                <w:szCs w:val="21"/>
              </w:rPr>
              <w:t>Euro-cent/ pkm</w:t>
            </w:r>
          </w:p>
        </w:tc>
      </w:tr>
      <w:tr w:rsidR="004F76A1" w:rsidRPr="0000287E" w14:paraId="6DE14D0F" w14:textId="77777777" w:rsidTr="00DE2F58">
        <w:tc>
          <w:tcPr>
            <w:tcW w:w="3020" w:type="dxa"/>
          </w:tcPr>
          <w:p w14:paraId="7CDD4D35" w14:textId="77777777" w:rsidR="004F76A1" w:rsidRPr="0000287E" w:rsidRDefault="004F76A1" w:rsidP="00DE2F58">
            <w:pPr>
              <w:rPr>
                <w:rFonts w:cs="Times New Roman"/>
                <w:sz w:val="21"/>
                <w:szCs w:val="21"/>
              </w:rPr>
            </w:pPr>
            <w:r w:rsidRPr="0000287E">
              <w:rPr>
                <w:rFonts w:cs="Times New Roman"/>
                <w:sz w:val="21"/>
                <w:szCs w:val="21"/>
              </w:rPr>
              <w:t>Osobni automobil</w:t>
            </w:r>
          </w:p>
        </w:tc>
        <w:tc>
          <w:tcPr>
            <w:tcW w:w="3020" w:type="dxa"/>
            <w:vAlign w:val="center"/>
          </w:tcPr>
          <w:p w14:paraId="50E7E56F" w14:textId="77777777" w:rsidR="004F76A1" w:rsidRPr="0000287E" w:rsidRDefault="004F76A1" w:rsidP="00DE2F58">
            <w:pPr>
              <w:jc w:val="right"/>
              <w:rPr>
                <w:rFonts w:cs="Times New Roman"/>
                <w:sz w:val="21"/>
                <w:szCs w:val="21"/>
              </w:rPr>
            </w:pPr>
            <w:r w:rsidRPr="0000287E">
              <w:rPr>
                <w:rFonts w:cs="Times New Roman"/>
                <w:sz w:val="21"/>
                <w:szCs w:val="21"/>
              </w:rPr>
              <w:t>565</w:t>
            </w:r>
          </w:p>
        </w:tc>
        <w:tc>
          <w:tcPr>
            <w:tcW w:w="3020" w:type="dxa"/>
            <w:vAlign w:val="center"/>
          </w:tcPr>
          <w:p w14:paraId="6B59C4D7" w14:textId="77777777" w:rsidR="004F76A1" w:rsidRPr="0000287E" w:rsidRDefault="004F76A1" w:rsidP="00DE2F58">
            <w:pPr>
              <w:jc w:val="right"/>
              <w:rPr>
                <w:rFonts w:cs="Times New Roman"/>
                <w:sz w:val="21"/>
                <w:szCs w:val="21"/>
              </w:rPr>
            </w:pPr>
            <w:r w:rsidRPr="0000287E">
              <w:rPr>
                <w:rFonts w:cs="Times New Roman"/>
                <w:sz w:val="21"/>
                <w:szCs w:val="21"/>
              </w:rPr>
              <w:t>12,0</w:t>
            </w:r>
          </w:p>
        </w:tc>
      </w:tr>
      <w:tr w:rsidR="004F76A1" w:rsidRPr="0000287E" w14:paraId="4A349D7D" w14:textId="77777777" w:rsidTr="00DE2F58">
        <w:tc>
          <w:tcPr>
            <w:tcW w:w="3020" w:type="dxa"/>
          </w:tcPr>
          <w:p w14:paraId="77563A72" w14:textId="77777777" w:rsidR="004F76A1" w:rsidRPr="0000287E" w:rsidRDefault="004F76A1" w:rsidP="00DE2F58">
            <w:pPr>
              <w:rPr>
                <w:rFonts w:cs="Times New Roman"/>
                <w:sz w:val="21"/>
                <w:szCs w:val="21"/>
              </w:rPr>
            </w:pPr>
            <w:r w:rsidRPr="0000287E">
              <w:rPr>
                <w:rFonts w:cs="Times New Roman"/>
                <w:sz w:val="21"/>
                <w:szCs w:val="21"/>
              </w:rPr>
              <w:t>Autobus</w:t>
            </w:r>
          </w:p>
        </w:tc>
        <w:tc>
          <w:tcPr>
            <w:tcW w:w="3020" w:type="dxa"/>
            <w:vAlign w:val="center"/>
          </w:tcPr>
          <w:p w14:paraId="420D2D50" w14:textId="77777777" w:rsidR="004F76A1" w:rsidRPr="0000287E" w:rsidRDefault="004F76A1" w:rsidP="00DE2F58">
            <w:pPr>
              <w:jc w:val="right"/>
              <w:rPr>
                <w:rFonts w:cs="Times New Roman"/>
                <w:sz w:val="21"/>
                <w:szCs w:val="21"/>
              </w:rPr>
            </w:pPr>
            <w:r w:rsidRPr="0000287E">
              <w:rPr>
                <w:rFonts w:cs="Times New Roman"/>
                <w:sz w:val="21"/>
                <w:szCs w:val="21"/>
              </w:rPr>
              <w:t>19</w:t>
            </w:r>
          </w:p>
        </w:tc>
        <w:tc>
          <w:tcPr>
            <w:tcW w:w="3020" w:type="dxa"/>
            <w:vAlign w:val="center"/>
          </w:tcPr>
          <w:p w14:paraId="0E902052" w14:textId="77777777" w:rsidR="004F76A1" w:rsidRPr="0000287E" w:rsidRDefault="004F76A1" w:rsidP="00DE2F58">
            <w:pPr>
              <w:jc w:val="right"/>
              <w:rPr>
                <w:rFonts w:cs="Times New Roman"/>
                <w:sz w:val="21"/>
                <w:szCs w:val="21"/>
              </w:rPr>
            </w:pPr>
            <w:r w:rsidRPr="0000287E">
              <w:rPr>
                <w:rFonts w:cs="Times New Roman"/>
                <w:sz w:val="21"/>
                <w:szCs w:val="21"/>
              </w:rPr>
              <w:t>3,6</w:t>
            </w:r>
          </w:p>
        </w:tc>
      </w:tr>
      <w:tr w:rsidR="004F76A1" w:rsidRPr="0000287E" w14:paraId="1EF19553" w14:textId="77777777" w:rsidTr="00DE2F58">
        <w:tc>
          <w:tcPr>
            <w:tcW w:w="3020" w:type="dxa"/>
          </w:tcPr>
          <w:p w14:paraId="5F8AAAFC" w14:textId="77777777" w:rsidR="004F76A1" w:rsidRPr="0000287E" w:rsidRDefault="004F76A1" w:rsidP="00DE2F58">
            <w:pPr>
              <w:rPr>
                <w:rFonts w:cs="Times New Roman"/>
                <w:sz w:val="21"/>
                <w:szCs w:val="21"/>
              </w:rPr>
            </w:pPr>
            <w:r w:rsidRPr="0000287E">
              <w:rPr>
                <w:rFonts w:cs="Times New Roman"/>
                <w:sz w:val="21"/>
                <w:szCs w:val="21"/>
              </w:rPr>
              <w:t>Motocikl</w:t>
            </w:r>
          </w:p>
        </w:tc>
        <w:tc>
          <w:tcPr>
            <w:tcW w:w="3020" w:type="dxa"/>
            <w:vAlign w:val="center"/>
          </w:tcPr>
          <w:p w14:paraId="65CE78EF" w14:textId="77777777" w:rsidR="004F76A1" w:rsidRPr="0000287E" w:rsidRDefault="004F76A1" w:rsidP="00DE2F58">
            <w:pPr>
              <w:jc w:val="right"/>
              <w:rPr>
                <w:rFonts w:cs="Times New Roman"/>
                <w:sz w:val="21"/>
                <w:szCs w:val="21"/>
              </w:rPr>
            </w:pPr>
            <w:r w:rsidRPr="0000287E">
              <w:rPr>
                <w:rFonts w:cs="Times New Roman"/>
                <w:sz w:val="21"/>
                <w:szCs w:val="21"/>
              </w:rPr>
              <w:t>41</w:t>
            </w:r>
          </w:p>
        </w:tc>
        <w:tc>
          <w:tcPr>
            <w:tcW w:w="3020" w:type="dxa"/>
            <w:vAlign w:val="center"/>
          </w:tcPr>
          <w:p w14:paraId="3D025E89" w14:textId="77777777" w:rsidR="004F76A1" w:rsidRPr="0000287E" w:rsidRDefault="004F76A1" w:rsidP="00DE2F58">
            <w:pPr>
              <w:jc w:val="right"/>
              <w:rPr>
                <w:rFonts w:cs="Times New Roman"/>
                <w:sz w:val="21"/>
                <w:szCs w:val="21"/>
              </w:rPr>
            </w:pPr>
            <w:r w:rsidRPr="0000287E">
              <w:rPr>
                <w:rFonts w:cs="Times New Roman"/>
                <w:sz w:val="21"/>
                <w:szCs w:val="21"/>
              </w:rPr>
              <w:t>24,5</w:t>
            </w:r>
          </w:p>
        </w:tc>
      </w:tr>
      <w:tr w:rsidR="004F76A1" w:rsidRPr="0000287E" w14:paraId="2F8DBD96" w14:textId="77777777" w:rsidTr="00DE2F58">
        <w:tc>
          <w:tcPr>
            <w:tcW w:w="3020" w:type="dxa"/>
          </w:tcPr>
          <w:p w14:paraId="34FA45AE" w14:textId="77777777" w:rsidR="004F76A1" w:rsidRPr="0000287E" w:rsidRDefault="004F76A1" w:rsidP="00DE2F58">
            <w:pPr>
              <w:rPr>
                <w:rFonts w:cs="Times New Roman"/>
                <w:sz w:val="21"/>
                <w:szCs w:val="21"/>
              </w:rPr>
            </w:pPr>
            <w:r w:rsidRPr="0000287E">
              <w:rPr>
                <w:rFonts w:cs="Times New Roman"/>
                <w:sz w:val="21"/>
                <w:szCs w:val="21"/>
              </w:rPr>
              <w:t>Brza željeznica</w:t>
            </w:r>
          </w:p>
        </w:tc>
        <w:tc>
          <w:tcPr>
            <w:tcW w:w="3020" w:type="dxa"/>
            <w:vAlign w:val="center"/>
          </w:tcPr>
          <w:p w14:paraId="004FE45B" w14:textId="77777777" w:rsidR="004F76A1" w:rsidRPr="0000287E" w:rsidRDefault="004F76A1" w:rsidP="00DE2F58">
            <w:pPr>
              <w:jc w:val="right"/>
              <w:rPr>
                <w:rFonts w:cs="Times New Roman"/>
                <w:sz w:val="21"/>
                <w:szCs w:val="21"/>
              </w:rPr>
            </w:pPr>
            <w:r w:rsidRPr="0000287E">
              <w:rPr>
                <w:rFonts w:cs="Times New Roman"/>
                <w:sz w:val="21"/>
                <w:szCs w:val="21"/>
              </w:rPr>
              <w:t>1</w:t>
            </w:r>
          </w:p>
        </w:tc>
        <w:tc>
          <w:tcPr>
            <w:tcW w:w="3020" w:type="dxa"/>
            <w:vAlign w:val="center"/>
          </w:tcPr>
          <w:p w14:paraId="13F816C2" w14:textId="77777777" w:rsidR="004F76A1" w:rsidRPr="0000287E" w:rsidRDefault="004F76A1" w:rsidP="00DE2F58">
            <w:pPr>
              <w:jc w:val="right"/>
              <w:rPr>
                <w:rFonts w:cs="Times New Roman"/>
                <w:sz w:val="21"/>
                <w:szCs w:val="21"/>
              </w:rPr>
            </w:pPr>
            <w:r w:rsidRPr="0000287E">
              <w:rPr>
                <w:rFonts w:cs="Times New Roman"/>
                <w:sz w:val="21"/>
                <w:szCs w:val="21"/>
              </w:rPr>
              <w:t>1,3</w:t>
            </w:r>
          </w:p>
        </w:tc>
      </w:tr>
      <w:tr w:rsidR="004F76A1" w:rsidRPr="0000287E" w14:paraId="15FE7FC3" w14:textId="77777777" w:rsidTr="00DE2F58">
        <w:tc>
          <w:tcPr>
            <w:tcW w:w="3020" w:type="dxa"/>
          </w:tcPr>
          <w:p w14:paraId="6BAEF2AC" w14:textId="77777777" w:rsidR="004F76A1" w:rsidRPr="0000287E" w:rsidRDefault="004F76A1" w:rsidP="00DE2F58">
            <w:pPr>
              <w:rPr>
                <w:rFonts w:cs="Times New Roman"/>
                <w:sz w:val="21"/>
                <w:szCs w:val="21"/>
              </w:rPr>
            </w:pPr>
            <w:r w:rsidRPr="0000287E">
              <w:rPr>
                <w:rFonts w:cs="Times New Roman"/>
                <w:sz w:val="21"/>
                <w:szCs w:val="21"/>
              </w:rPr>
              <w:t>Električni putnički vlak</w:t>
            </w:r>
          </w:p>
        </w:tc>
        <w:tc>
          <w:tcPr>
            <w:tcW w:w="3020" w:type="dxa"/>
            <w:vMerge w:val="restart"/>
            <w:vAlign w:val="center"/>
          </w:tcPr>
          <w:p w14:paraId="31A091F8" w14:textId="77777777" w:rsidR="004F76A1" w:rsidRPr="0000287E" w:rsidRDefault="004F76A1" w:rsidP="00DE2F58">
            <w:pPr>
              <w:jc w:val="right"/>
              <w:rPr>
                <w:rFonts w:cs="Times New Roman"/>
                <w:sz w:val="21"/>
                <w:szCs w:val="21"/>
              </w:rPr>
            </w:pPr>
            <w:r w:rsidRPr="0000287E">
              <w:rPr>
                <w:rFonts w:cs="Times New Roman"/>
                <w:sz w:val="21"/>
                <w:szCs w:val="21"/>
              </w:rPr>
              <w:t>11</w:t>
            </w:r>
          </w:p>
        </w:tc>
        <w:tc>
          <w:tcPr>
            <w:tcW w:w="3020" w:type="dxa"/>
            <w:vAlign w:val="center"/>
          </w:tcPr>
          <w:p w14:paraId="780C96B4" w14:textId="77777777" w:rsidR="004F76A1" w:rsidRPr="0000287E" w:rsidRDefault="004F76A1" w:rsidP="00DE2F58">
            <w:pPr>
              <w:jc w:val="right"/>
              <w:rPr>
                <w:rFonts w:cs="Times New Roman"/>
                <w:sz w:val="21"/>
                <w:szCs w:val="21"/>
              </w:rPr>
            </w:pPr>
            <w:r w:rsidRPr="0000287E">
              <w:rPr>
                <w:rFonts w:cs="Times New Roman"/>
                <w:sz w:val="21"/>
                <w:szCs w:val="21"/>
              </w:rPr>
              <w:t>2,6</w:t>
            </w:r>
          </w:p>
        </w:tc>
      </w:tr>
      <w:tr w:rsidR="004F76A1" w:rsidRPr="0000287E" w14:paraId="48ADCD03" w14:textId="77777777" w:rsidTr="00DE2F58">
        <w:tc>
          <w:tcPr>
            <w:tcW w:w="3020" w:type="dxa"/>
          </w:tcPr>
          <w:p w14:paraId="5F7825CB" w14:textId="77777777" w:rsidR="004F76A1" w:rsidRPr="0000287E" w:rsidRDefault="004F76A1" w:rsidP="00DE2F58">
            <w:pPr>
              <w:rPr>
                <w:rFonts w:cs="Times New Roman"/>
                <w:sz w:val="21"/>
                <w:szCs w:val="21"/>
              </w:rPr>
            </w:pPr>
            <w:r w:rsidRPr="0000287E">
              <w:rPr>
                <w:rFonts w:cs="Times New Roman"/>
                <w:sz w:val="21"/>
                <w:szCs w:val="21"/>
              </w:rPr>
              <w:t>Dizelski putnički vlak</w:t>
            </w:r>
          </w:p>
        </w:tc>
        <w:tc>
          <w:tcPr>
            <w:tcW w:w="3020" w:type="dxa"/>
            <w:vMerge/>
            <w:vAlign w:val="center"/>
          </w:tcPr>
          <w:p w14:paraId="1F4EC14D" w14:textId="77777777" w:rsidR="004F76A1" w:rsidRPr="0000287E" w:rsidRDefault="004F76A1" w:rsidP="00DE2F58">
            <w:pPr>
              <w:jc w:val="right"/>
              <w:rPr>
                <w:rFonts w:cs="Times New Roman"/>
                <w:sz w:val="21"/>
                <w:szCs w:val="21"/>
              </w:rPr>
            </w:pPr>
          </w:p>
        </w:tc>
        <w:tc>
          <w:tcPr>
            <w:tcW w:w="3020" w:type="dxa"/>
            <w:vAlign w:val="center"/>
          </w:tcPr>
          <w:p w14:paraId="2B5A77AC" w14:textId="77777777" w:rsidR="004F76A1" w:rsidRPr="0000287E" w:rsidRDefault="004F76A1" w:rsidP="00DE2F58">
            <w:pPr>
              <w:jc w:val="right"/>
              <w:rPr>
                <w:rFonts w:cs="Times New Roman"/>
                <w:sz w:val="21"/>
                <w:szCs w:val="21"/>
              </w:rPr>
            </w:pPr>
            <w:r w:rsidRPr="0000287E">
              <w:rPr>
                <w:rFonts w:cs="Times New Roman"/>
                <w:sz w:val="21"/>
                <w:szCs w:val="21"/>
              </w:rPr>
              <w:t>3,9</w:t>
            </w:r>
          </w:p>
        </w:tc>
      </w:tr>
      <w:tr w:rsidR="004F76A1" w:rsidRPr="0000287E" w14:paraId="536212FB" w14:textId="77777777" w:rsidTr="00DE2F58">
        <w:tc>
          <w:tcPr>
            <w:tcW w:w="3020" w:type="dxa"/>
          </w:tcPr>
          <w:p w14:paraId="4E9EC986" w14:textId="77777777" w:rsidR="004F76A1" w:rsidRPr="0000287E" w:rsidRDefault="004F76A1" w:rsidP="00DE2F58">
            <w:pPr>
              <w:rPr>
                <w:rFonts w:cs="Times New Roman"/>
                <w:sz w:val="21"/>
                <w:szCs w:val="21"/>
              </w:rPr>
            </w:pPr>
            <w:r w:rsidRPr="0000287E">
              <w:rPr>
                <w:rFonts w:cs="Times New Roman"/>
                <w:sz w:val="21"/>
                <w:szCs w:val="21"/>
              </w:rPr>
              <w:t>Zrakoplov</w:t>
            </w:r>
          </w:p>
        </w:tc>
        <w:tc>
          <w:tcPr>
            <w:tcW w:w="3020" w:type="dxa"/>
            <w:vAlign w:val="center"/>
          </w:tcPr>
          <w:p w14:paraId="3CA606ED" w14:textId="77777777" w:rsidR="004F76A1" w:rsidRPr="0000287E" w:rsidRDefault="004F76A1" w:rsidP="00DE2F58">
            <w:pPr>
              <w:jc w:val="right"/>
              <w:rPr>
                <w:rFonts w:cs="Times New Roman"/>
                <w:sz w:val="21"/>
                <w:szCs w:val="21"/>
              </w:rPr>
            </w:pPr>
            <w:r w:rsidRPr="0000287E">
              <w:rPr>
                <w:rFonts w:cs="Times New Roman"/>
                <w:sz w:val="21"/>
                <w:szCs w:val="21"/>
              </w:rPr>
              <w:t>48</w:t>
            </w:r>
          </w:p>
        </w:tc>
        <w:tc>
          <w:tcPr>
            <w:tcW w:w="3020" w:type="dxa"/>
            <w:vAlign w:val="center"/>
          </w:tcPr>
          <w:p w14:paraId="4864857E" w14:textId="77777777" w:rsidR="004F76A1" w:rsidRPr="0000287E" w:rsidRDefault="004F76A1" w:rsidP="00DE2F58">
            <w:pPr>
              <w:jc w:val="right"/>
              <w:rPr>
                <w:rFonts w:cs="Times New Roman"/>
                <w:sz w:val="21"/>
                <w:szCs w:val="21"/>
              </w:rPr>
            </w:pPr>
            <w:r w:rsidRPr="0000287E">
              <w:rPr>
                <w:rFonts w:cs="Times New Roman"/>
                <w:sz w:val="21"/>
                <w:szCs w:val="21"/>
              </w:rPr>
              <w:t>3,4</w:t>
            </w:r>
          </w:p>
        </w:tc>
      </w:tr>
      <w:tr w:rsidR="004F76A1" w:rsidRPr="0000287E" w14:paraId="740107FA" w14:textId="77777777" w:rsidTr="00DE2F58">
        <w:tc>
          <w:tcPr>
            <w:tcW w:w="3020" w:type="dxa"/>
          </w:tcPr>
          <w:p w14:paraId="747F09B6" w14:textId="77777777" w:rsidR="004F76A1" w:rsidRPr="0000287E" w:rsidRDefault="004F76A1" w:rsidP="00DE2F58">
            <w:pPr>
              <w:rPr>
                <w:rFonts w:cs="Times New Roman"/>
                <w:b/>
                <w:bCs/>
                <w:sz w:val="21"/>
                <w:szCs w:val="21"/>
              </w:rPr>
            </w:pPr>
            <w:r w:rsidRPr="0000287E">
              <w:rPr>
                <w:rFonts w:cs="Times New Roman"/>
                <w:b/>
                <w:bCs/>
                <w:sz w:val="21"/>
                <w:szCs w:val="21"/>
              </w:rPr>
              <w:t>Lako komercijalno vozilo</w:t>
            </w:r>
          </w:p>
        </w:tc>
        <w:tc>
          <w:tcPr>
            <w:tcW w:w="3020" w:type="dxa"/>
            <w:vAlign w:val="center"/>
          </w:tcPr>
          <w:p w14:paraId="48A485D9" w14:textId="77777777" w:rsidR="004F76A1" w:rsidRPr="0000287E" w:rsidRDefault="004F76A1" w:rsidP="00DE2F58">
            <w:pPr>
              <w:jc w:val="right"/>
              <w:rPr>
                <w:rFonts w:cs="Times New Roman"/>
                <w:b/>
                <w:bCs/>
                <w:sz w:val="21"/>
                <w:szCs w:val="21"/>
              </w:rPr>
            </w:pPr>
            <w:r w:rsidRPr="0000287E">
              <w:rPr>
                <w:rFonts w:cs="Times New Roman"/>
                <w:b/>
                <w:bCs/>
                <w:sz w:val="21"/>
                <w:szCs w:val="21"/>
              </w:rPr>
              <w:t>Milijarde eur</w:t>
            </w:r>
          </w:p>
        </w:tc>
        <w:tc>
          <w:tcPr>
            <w:tcW w:w="3020" w:type="dxa"/>
            <w:vAlign w:val="center"/>
          </w:tcPr>
          <w:p w14:paraId="6AAFC40D" w14:textId="77777777" w:rsidR="004F76A1" w:rsidRPr="0000287E" w:rsidRDefault="004F76A1" w:rsidP="00DE2F58">
            <w:pPr>
              <w:jc w:val="right"/>
              <w:rPr>
                <w:rFonts w:cs="Times New Roman"/>
                <w:b/>
                <w:bCs/>
                <w:sz w:val="21"/>
                <w:szCs w:val="21"/>
              </w:rPr>
            </w:pPr>
            <w:r w:rsidRPr="0000287E">
              <w:rPr>
                <w:rFonts w:cs="Times New Roman"/>
                <w:b/>
                <w:bCs/>
                <w:sz w:val="21"/>
                <w:szCs w:val="21"/>
              </w:rPr>
              <w:t>Euro-cent/ vkm</w:t>
            </w:r>
          </w:p>
        </w:tc>
      </w:tr>
      <w:tr w:rsidR="004F76A1" w:rsidRPr="0000287E" w14:paraId="14D967AF" w14:textId="77777777" w:rsidTr="00DE2F58">
        <w:tc>
          <w:tcPr>
            <w:tcW w:w="3020" w:type="dxa"/>
          </w:tcPr>
          <w:p w14:paraId="669BF92E" w14:textId="77777777" w:rsidR="004F76A1" w:rsidRPr="0000287E" w:rsidRDefault="004F76A1" w:rsidP="00DE2F58">
            <w:pPr>
              <w:rPr>
                <w:rFonts w:cs="Times New Roman"/>
                <w:sz w:val="21"/>
                <w:szCs w:val="21"/>
              </w:rPr>
            </w:pPr>
            <w:r w:rsidRPr="0000287E">
              <w:rPr>
                <w:rFonts w:cs="Times New Roman"/>
                <w:sz w:val="21"/>
                <w:szCs w:val="21"/>
              </w:rPr>
              <w:t>Lako komercijalno vozilo</w:t>
            </w:r>
          </w:p>
        </w:tc>
        <w:tc>
          <w:tcPr>
            <w:tcW w:w="3020" w:type="dxa"/>
            <w:vAlign w:val="center"/>
          </w:tcPr>
          <w:p w14:paraId="08B34131" w14:textId="77777777" w:rsidR="004F76A1" w:rsidRPr="0000287E" w:rsidRDefault="004F76A1" w:rsidP="00DE2F58">
            <w:pPr>
              <w:jc w:val="right"/>
              <w:rPr>
                <w:rFonts w:cs="Times New Roman"/>
                <w:sz w:val="21"/>
                <w:szCs w:val="21"/>
              </w:rPr>
            </w:pPr>
            <w:r w:rsidRPr="0000287E">
              <w:rPr>
                <w:rFonts w:cs="Times New Roman"/>
                <w:sz w:val="21"/>
                <w:szCs w:val="21"/>
              </w:rPr>
              <w:t>118</w:t>
            </w:r>
          </w:p>
        </w:tc>
        <w:tc>
          <w:tcPr>
            <w:tcW w:w="3020" w:type="dxa"/>
            <w:vAlign w:val="center"/>
          </w:tcPr>
          <w:p w14:paraId="5FD8A25B" w14:textId="77777777" w:rsidR="004F76A1" w:rsidRPr="0000287E" w:rsidRDefault="004F76A1" w:rsidP="00DE2F58">
            <w:pPr>
              <w:jc w:val="right"/>
              <w:rPr>
                <w:rFonts w:cs="Times New Roman"/>
                <w:sz w:val="21"/>
                <w:szCs w:val="21"/>
              </w:rPr>
            </w:pPr>
            <w:r w:rsidRPr="0000287E">
              <w:rPr>
                <w:rFonts w:cs="Times New Roman"/>
                <w:sz w:val="21"/>
                <w:szCs w:val="21"/>
              </w:rPr>
              <w:t>24,7</w:t>
            </w:r>
          </w:p>
        </w:tc>
      </w:tr>
      <w:tr w:rsidR="004F76A1" w:rsidRPr="0000287E" w14:paraId="443A1D12" w14:textId="77777777" w:rsidTr="00DE2F58">
        <w:tc>
          <w:tcPr>
            <w:tcW w:w="3020" w:type="dxa"/>
          </w:tcPr>
          <w:p w14:paraId="736B6A41" w14:textId="77777777" w:rsidR="004F76A1" w:rsidRPr="0000287E" w:rsidRDefault="004F76A1" w:rsidP="00DE2F58">
            <w:pPr>
              <w:rPr>
                <w:rFonts w:cs="Times New Roman"/>
                <w:b/>
                <w:bCs/>
                <w:sz w:val="21"/>
                <w:szCs w:val="21"/>
              </w:rPr>
            </w:pPr>
            <w:r w:rsidRPr="0000287E">
              <w:rPr>
                <w:rFonts w:cs="Times New Roman"/>
                <w:b/>
                <w:bCs/>
                <w:sz w:val="21"/>
                <w:szCs w:val="21"/>
              </w:rPr>
              <w:t>Teretni promet</w:t>
            </w:r>
          </w:p>
        </w:tc>
        <w:tc>
          <w:tcPr>
            <w:tcW w:w="3020" w:type="dxa"/>
            <w:vAlign w:val="center"/>
          </w:tcPr>
          <w:p w14:paraId="7AD83CF7" w14:textId="77777777" w:rsidR="004F76A1" w:rsidRPr="0000287E" w:rsidRDefault="004F76A1" w:rsidP="00DE2F58">
            <w:pPr>
              <w:jc w:val="right"/>
              <w:rPr>
                <w:rFonts w:cs="Times New Roman"/>
                <w:b/>
                <w:bCs/>
                <w:sz w:val="21"/>
                <w:szCs w:val="21"/>
              </w:rPr>
            </w:pPr>
            <w:r w:rsidRPr="0000287E">
              <w:rPr>
                <w:rFonts w:cs="Times New Roman"/>
                <w:b/>
                <w:bCs/>
                <w:sz w:val="21"/>
                <w:szCs w:val="21"/>
              </w:rPr>
              <w:t>Milijarde eur</w:t>
            </w:r>
          </w:p>
        </w:tc>
        <w:tc>
          <w:tcPr>
            <w:tcW w:w="3020" w:type="dxa"/>
            <w:vAlign w:val="center"/>
          </w:tcPr>
          <w:p w14:paraId="54A7CB96" w14:textId="77777777" w:rsidR="004F76A1" w:rsidRPr="0000287E" w:rsidRDefault="004F76A1" w:rsidP="00DE2F58">
            <w:pPr>
              <w:jc w:val="right"/>
              <w:rPr>
                <w:rFonts w:cs="Times New Roman"/>
                <w:b/>
                <w:bCs/>
                <w:sz w:val="21"/>
                <w:szCs w:val="21"/>
              </w:rPr>
            </w:pPr>
            <w:r w:rsidRPr="0000287E">
              <w:rPr>
                <w:rFonts w:cs="Times New Roman"/>
                <w:b/>
                <w:bCs/>
                <w:sz w:val="21"/>
                <w:szCs w:val="21"/>
              </w:rPr>
              <w:t>Euro-cent/ tkm</w:t>
            </w:r>
          </w:p>
        </w:tc>
      </w:tr>
      <w:tr w:rsidR="004F76A1" w:rsidRPr="0000287E" w14:paraId="1C52A810" w14:textId="77777777" w:rsidTr="00DE2F58">
        <w:tc>
          <w:tcPr>
            <w:tcW w:w="3020" w:type="dxa"/>
          </w:tcPr>
          <w:p w14:paraId="047A24BE" w14:textId="77777777" w:rsidR="004F76A1" w:rsidRPr="0000287E" w:rsidRDefault="004F76A1" w:rsidP="00DE2F58">
            <w:pPr>
              <w:rPr>
                <w:rFonts w:cs="Times New Roman"/>
                <w:sz w:val="21"/>
                <w:szCs w:val="21"/>
              </w:rPr>
            </w:pPr>
            <w:r w:rsidRPr="0000287E">
              <w:rPr>
                <w:rFonts w:cs="Times New Roman"/>
                <w:sz w:val="21"/>
                <w:szCs w:val="21"/>
              </w:rPr>
              <w:t>Teška vozila</w:t>
            </w:r>
          </w:p>
        </w:tc>
        <w:tc>
          <w:tcPr>
            <w:tcW w:w="3020" w:type="dxa"/>
            <w:vAlign w:val="center"/>
          </w:tcPr>
          <w:p w14:paraId="5CE04166" w14:textId="77777777" w:rsidR="004F76A1" w:rsidRPr="0000287E" w:rsidRDefault="004F76A1" w:rsidP="00DE2F58">
            <w:pPr>
              <w:jc w:val="right"/>
              <w:rPr>
                <w:rFonts w:cs="Times New Roman"/>
                <w:sz w:val="21"/>
                <w:szCs w:val="21"/>
              </w:rPr>
            </w:pPr>
            <w:r w:rsidRPr="0000287E">
              <w:rPr>
                <w:rFonts w:cs="Times New Roman"/>
                <w:sz w:val="21"/>
                <w:szCs w:val="21"/>
              </w:rPr>
              <w:t>78</w:t>
            </w:r>
          </w:p>
        </w:tc>
        <w:tc>
          <w:tcPr>
            <w:tcW w:w="3020" w:type="dxa"/>
            <w:vAlign w:val="center"/>
          </w:tcPr>
          <w:p w14:paraId="2239BE9F" w14:textId="77777777" w:rsidR="004F76A1" w:rsidRPr="0000287E" w:rsidRDefault="004F76A1" w:rsidP="00DE2F58">
            <w:pPr>
              <w:jc w:val="right"/>
              <w:rPr>
                <w:rFonts w:cs="Times New Roman"/>
                <w:sz w:val="21"/>
                <w:szCs w:val="21"/>
              </w:rPr>
            </w:pPr>
            <w:r w:rsidRPr="0000287E">
              <w:rPr>
                <w:rFonts w:cs="Times New Roman"/>
                <w:sz w:val="21"/>
                <w:szCs w:val="21"/>
              </w:rPr>
              <w:t>4,2</w:t>
            </w:r>
          </w:p>
        </w:tc>
      </w:tr>
      <w:tr w:rsidR="004F76A1" w:rsidRPr="0000287E" w14:paraId="399A569A" w14:textId="77777777" w:rsidTr="00DE2F58">
        <w:tc>
          <w:tcPr>
            <w:tcW w:w="3020" w:type="dxa"/>
          </w:tcPr>
          <w:p w14:paraId="2A064089" w14:textId="77777777" w:rsidR="004F76A1" w:rsidRPr="0000287E" w:rsidRDefault="004F76A1" w:rsidP="00DE2F58">
            <w:pPr>
              <w:rPr>
                <w:rFonts w:cs="Times New Roman"/>
                <w:sz w:val="21"/>
                <w:szCs w:val="21"/>
              </w:rPr>
            </w:pPr>
            <w:r w:rsidRPr="0000287E">
              <w:rPr>
                <w:rFonts w:cs="Times New Roman"/>
                <w:sz w:val="21"/>
                <w:szCs w:val="21"/>
              </w:rPr>
              <w:t>Električni teretni vlak</w:t>
            </w:r>
          </w:p>
        </w:tc>
        <w:tc>
          <w:tcPr>
            <w:tcW w:w="3020" w:type="dxa"/>
            <w:vMerge w:val="restart"/>
            <w:vAlign w:val="center"/>
          </w:tcPr>
          <w:p w14:paraId="4CE68FA0" w14:textId="77777777" w:rsidR="004F76A1" w:rsidRPr="0000287E" w:rsidRDefault="004F76A1" w:rsidP="00DE2F58">
            <w:pPr>
              <w:jc w:val="right"/>
              <w:rPr>
                <w:rFonts w:cs="Times New Roman"/>
                <w:sz w:val="21"/>
                <w:szCs w:val="21"/>
              </w:rPr>
            </w:pPr>
            <w:r w:rsidRPr="0000287E">
              <w:rPr>
                <w:rFonts w:cs="Times New Roman"/>
                <w:sz w:val="21"/>
                <w:szCs w:val="21"/>
              </w:rPr>
              <w:t>5</w:t>
            </w:r>
          </w:p>
        </w:tc>
        <w:tc>
          <w:tcPr>
            <w:tcW w:w="3020" w:type="dxa"/>
            <w:vAlign w:val="center"/>
          </w:tcPr>
          <w:p w14:paraId="4420CE62" w14:textId="77777777" w:rsidR="004F76A1" w:rsidRPr="0000287E" w:rsidRDefault="004F76A1" w:rsidP="00DE2F58">
            <w:pPr>
              <w:jc w:val="right"/>
              <w:rPr>
                <w:rFonts w:cs="Times New Roman"/>
                <w:sz w:val="21"/>
                <w:szCs w:val="21"/>
              </w:rPr>
            </w:pPr>
            <w:r w:rsidRPr="0000287E">
              <w:rPr>
                <w:rFonts w:cs="Times New Roman"/>
                <w:sz w:val="21"/>
                <w:szCs w:val="21"/>
              </w:rPr>
              <w:t>1,1</w:t>
            </w:r>
          </w:p>
        </w:tc>
      </w:tr>
      <w:tr w:rsidR="004F76A1" w:rsidRPr="0000287E" w14:paraId="74424B47" w14:textId="77777777" w:rsidTr="00DE2F58">
        <w:tc>
          <w:tcPr>
            <w:tcW w:w="3020" w:type="dxa"/>
          </w:tcPr>
          <w:p w14:paraId="70F912FB" w14:textId="77777777" w:rsidR="004F76A1" w:rsidRPr="0000287E" w:rsidRDefault="004F76A1" w:rsidP="00DE2F58">
            <w:pPr>
              <w:rPr>
                <w:rFonts w:cs="Times New Roman"/>
                <w:sz w:val="21"/>
                <w:szCs w:val="21"/>
              </w:rPr>
            </w:pPr>
            <w:r w:rsidRPr="0000287E">
              <w:rPr>
                <w:rFonts w:cs="Times New Roman"/>
                <w:sz w:val="21"/>
                <w:szCs w:val="21"/>
              </w:rPr>
              <w:t>Dizelski teretni vlak</w:t>
            </w:r>
          </w:p>
        </w:tc>
        <w:tc>
          <w:tcPr>
            <w:tcW w:w="3020" w:type="dxa"/>
            <w:vMerge/>
            <w:vAlign w:val="center"/>
          </w:tcPr>
          <w:p w14:paraId="1E5A1A80" w14:textId="77777777" w:rsidR="004F76A1" w:rsidRPr="0000287E" w:rsidRDefault="004F76A1" w:rsidP="00DE2F58">
            <w:pPr>
              <w:jc w:val="right"/>
              <w:rPr>
                <w:rFonts w:cs="Times New Roman"/>
                <w:sz w:val="21"/>
                <w:szCs w:val="21"/>
              </w:rPr>
            </w:pPr>
          </w:p>
        </w:tc>
        <w:tc>
          <w:tcPr>
            <w:tcW w:w="3020" w:type="dxa"/>
            <w:vAlign w:val="center"/>
          </w:tcPr>
          <w:p w14:paraId="01B768F6" w14:textId="77777777" w:rsidR="004F76A1" w:rsidRPr="0000287E" w:rsidRDefault="004F76A1" w:rsidP="00DE2F58">
            <w:pPr>
              <w:jc w:val="right"/>
              <w:rPr>
                <w:rFonts w:cs="Times New Roman"/>
                <w:sz w:val="21"/>
                <w:szCs w:val="21"/>
              </w:rPr>
            </w:pPr>
            <w:r w:rsidRPr="0000287E">
              <w:rPr>
                <w:rFonts w:cs="Times New Roman"/>
                <w:sz w:val="21"/>
                <w:szCs w:val="21"/>
              </w:rPr>
              <w:t>1,8</w:t>
            </w:r>
          </w:p>
        </w:tc>
      </w:tr>
      <w:tr w:rsidR="004F76A1" w:rsidRPr="0000287E" w14:paraId="11F675B1" w14:textId="77777777" w:rsidTr="00DE2F58">
        <w:tc>
          <w:tcPr>
            <w:tcW w:w="3020" w:type="dxa"/>
            <w:shd w:val="clear" w:color="auto" w:fill="C5E0B3" w:themeFill="accent6" w:themeFillTint="66"/>
          </w:tcPr>
          <w:p w14:paraId="2E4EDF8D" w14:textId="77777777" w:rsidR="004F76A1" w:rsidRPr="0000287E" w:rsidRDefault="004F76A1" w:rsidP="00DE2F58">
            <w:pPr>
              <w:rPr>
                <w:rFonts w:cs="Times New Roman"/>
                <w:sz w:val="21"/>
                <w:szCs w:val="21"/>
              </w:rPr>
            </w:pPr>
            <w:r w:rsidRPr="0000287E">
              <w:rPr>
                <w:rFonts w:cs="Times New Roman"/>
                <w:sz w:val="21"/>
                <w:szCs w:val="21"/>
              </w:rPr>
              <w:t>Riječna plovila</w:t>
            </w:r>
          </w:p>
        </w:tc>
        <w:tc>
          <w:tcPr>
            <w:tcW w:w="3020" w:type="dxa"/>
            <w:shd w:val="clear" w:color="auto" w:fill="C5E0B3" w:themeFill="accent6" w:themeFillTint="66"/>
            <w:vAlign w:val="center"/>
          </w:tcPr>
          <w:p w14:paraId="22E2FF43" w14:textId="77777777" w:rsidR="004F76A1" w:rsidRPr="0000287E" w:rsidRDefault="004F76A1" w:rsidP="00DE2F58">
            <w:pPr>
              <w:jc w:val="right"/>
              <w:rPr>
                <w:rFonts w:cs="Times New Roman"/>
                <w:sz w:val="21"/>
                <w:szCs w:val="21"/>
              </w:rPr>
            </w:pPr>
            <w:r w:rsidRPr="0000287E">
              <w:rPr>
                <w:rFonts w:cs="Times New Roman"/>
                <w:sz w:val="21"/>
                <w:szCs w:val="21"/>
              </w:rPr>
              <w:t>3</w:t>
            </w:r>
          </w:p>
        </w:tc>
        <w:tc>
          <w:tcPr>
            <w:tcW w:w="3020" w:type="dxa"/>
            <w:shd w:val="clear" w:color="auto" w:fill="C5E0B3" w:themeFill="accent6" w:themeFillTint="66"/>
            <w:vAlign w:val="center"/>
          </w:tcPr>
          <w:p w14:paraId="79677B69" w14:textId="77777777" w:rsidR="004F76A1" w:rsidRPr="0000287E" w:rsidRDefault="004F76A1" w:rsidP="00DE2F58">
            <w:pPr>
              <w:jc w:val="right"/>
              <w:rPr>
                <w:rFonts w:cs="Times New Roman"/>
                <w:sz w:val="21"/>
                <w:szCs w:val="21"/>
              </w:rPr>
            </w:pPr>
            <w:r w:rsidRPr="0000287E">
              <w:rPr>
                <w:rFonts w:cs="Times New Roman"/>
                <w:sz w:val="21"/>
                <w:szCs w:val="21"/>
              </w:rPr>
              <w:t>1,9</w:t>
            </w:r>
          </w:p>
        </w:tc>
      </w:tr>
      <w:tr w:rsidR="004F76A1" w:rsidRPr="0000287E" w14:paraId="75532A7B" w14:textId="77777777" w:rsidTr="00DE2F58">
        <w:tc>
          <w:tcPr>
            <w:tcW w:w="3020" w:type="dxa"/>
          </w:tcPr>
          <w:p w14:paraId="370DB53C" w14:textId="77777777" w:rsidR="004F76A1" w:rsidRPr="0000287E" w:rsidRDefault="004F76A1" w:rsidP="00DE2F58">
            <w:pPr>
              <w:rPr>
                <w:rFonts w:cs="Times New Roman"/>
                <w:sz w:val="21"/>
                <w:szCs w:val="21"/>
              </w:rPr>
            </w:pPr>
            <w:r w:rsidRPr="0000287E">
              <w:rPr>
                <w:rFonts w:cs="Times New Roman"/>
                <w:sz w:val="21"/>
                <w:szCs w:val="21"/>
              </w:rPr>
              <w:t>Pomorska plovila</w:t>
            </w:r>
          </w:p>
        </w:tc>
        <w:tc>
          <w:tcPr>
            <w:tcW w:w="3020" w:type="dxa"/>
            <w:vAlign w:val="center"/>
          </w:tcPr>
          <w:p w14:paraId="23EE7F89" w14:textId="77777777" w:rsidR="004F76A1" w:rsidRPr="0000287E" w:rsidRDefault="004F76A1" w:rsidP="00DE2F58">
            <w:pPr>
              <w:jc w:val="right"/>
              <w:rPr>
                <w:rFonts w:cs="Times New Roman"/>
                <w:sz w:val="21"/>
                <w:szCs w:val="21"/>
              </w:rPr>
            </w:pPr>
            <w:r w:rsidRPr="0000287E">
              <w:rPr>
                <w:rFonts w:cs="Times New Roman"/>
                <w:sz w:val="21"/>
                <w:szCs w:val="21"/>
              </w:rPr>
              <w:t>98</w:t>
            </w:r>
          </w:p>
        </w:tc>
        <w:tc>
          <w:tcPr>
            <w:tcW w:w="3020" w:type="dxa"/>
            <w:vAlign w:val="center"/>
          </w:tcPr>
          <w:p w14:paraId="0F9F8237" w14:textId="77777777" w:rsidR="004F76A1" w:rsidRPr="0000287E" w:rsidRDefault="004F76A1" w:rsidP="00DE2F58">
            <w:pPr>
              <w:jc w:val="right"/>
              <w:rPr>
                <w:rFonts w:cs="Times New Roman"/>
                <w:sz w:val="21"/>
                <w:szCs w:val="21"/>
              </w:rPr>
            </w:pPr>
            <w:r w:rsidRPr="0000287E">
              <w:rPr>
                <w:rFonts w:cs="Times New Roman"/>
                <w:sz w:val="21"/>
                <w:szCs w:val="21"/>
              </w:rPr>
              <w:t>0,7</w:t>
            </w:r>
          </w:p>
        </w:tc>
      </w:tr>
    </w:tbl>
    <w:p w14:paraId="12919ADC" w14:textId="77777777" w:rsidR="004F76A1" w:rsidRPr="0000287E" w:rsidRDefault="004F76A1" w:rsidP="004F76A1">
      <w:pPr>
        <w:spacing w:before="240" w:after="0" w:line="240" w:lineRule="auto"/>
        <w:jc w:val="center"/>
        <w:rPr>
          <w:rFonts w:cs="Times New Roman"/>
          <w:b/>
          <w:bCs/>
          <w:sz w:val="20"/>
          <w:szCs w:val="20"/>
        </w:rPr>
      </w:pPr>
      <w:r w:rsidRPr="0000287E">
        <w:rPr>
          <w:rFonts w:cs="Times New Roman"/>
          <w:b/>
          <w:bCs/>
          <w:sz w:val="20"/>
          <w:szCs w:val="20"/>
        </w:rPr>
        <w:t xml:space="preserve">Izvor: Europska komisija, </w:t>
      </w:r>
      <w:r w:rsidRPr="0000287E">
        <w:rPr>
          <w:rFonts w:cs="Times New Roman"/>
          <w:b/>
          <w:bCs/>
          <w:i/>
          <w:iCs/>
          <w:sz w:val="20"/>
          <w:szCs w:val="20"/>
        </w:rPr>
        <w:t>Handbook on the external costs of transport</w:t>
      </w:r>
      <w:r w:rsidRPr="0000287E">
        <w:rPr>
          <w:rFonts w:cs="Times New Roman"/>
          <w:b/>
          <w:bCs/>
          <w:sz w:val="20"/>
          <w:szCs w:val="20"/>
        </w:rPr>
        <w:t>, 2019</w:t>
      </w:r>
    </w:p>
    <w:p w14:paraId="76EEAC3B" w14:textId="77777777" w:rsidR="004F76A1" w:rsidRDefault="004F76A1" w:rsidP="004F76A1">
      <w:pPr>
        <w:spacing w:before="240" w:after="0" w:line="240" w:lineRule="auto"/>
        <w:rPr>
          <w:rFonts w:cs="Times New Roman"/>
          <w:b/>
          <w:bCs/>
          <w:sz w:val="20"/>
          <w:szCs w:val="20"/>
        </w:rPr>
      </w:pPr>
    </w:p>
    <w:p w14:paraId="23E606BE" w14:textId="77777777" w:rsidR="004F76A1" w:rsidRPr="0000287E" w:rsidRDefault="004F76A1" w:rsidP="004F76A1">
      <w:pPr>
        <w:pStyle w:val="Caption"/>
        <w:keepNext/>
        <w:jc w:val="center"/>
        <w:rPr>
          <w:rFonts w:ascii="Times New Roman" w:hAnsi="Times New Roman" w:cs="Times New Roman"/>
        </w:rPr>
      </w:pPr>
      <w:bookmarkStart w:id="39" w:name="_Toc69744731"/>
      <w:r w:rsidRPr="0000287E">
        <w:rPr>
          <w:rFonts w:ascii="Times New Roman" w:hAnsi="Times New Roman" w:cs="Times New Roman"/>
        </w:rPr>
        <w:t xml:space="preserve">Tablica </w:t>
      </w:r>
      <w:r w:rsidRPr="0000287E">
        <w:rPr>
          <w:rFonts w:ascii="Times New Roman" w:hAnsi="Times New Roman" w:cs="Times New Roman"/>
          <w:noProof/>
        </w:rPr>
        <w:fldChar w:fldCharType="begin"/>
      </w:r>
      <w:r w:rsidRPr="0000287E">
        <w:rPr>
          <w:rFonts w:ascii="Times New Roman" w:hAnsi="Times New Roman" w:cs="Times New Roman"/>
          <w:noProof/>
        </w:rPr>
        <w:instrText xml:space="preserve"> SEQ Tablica \* ARABIC </w:instrText>
      </w:r>
      <w:r w:rsidRPr="0000287E">
        <w:rPr>
          <w:rFonts w:ascii="Times New Roman" w:hAnsi="Times New Roman" w:cs="Times New Roman"/>
        </w:rPr>
        <w:fldChar w:fldCharType="separate"/>
      </w:r>
      <w:r>
        <w:rPr>
          <w:rFonts w:ascii="Times New Roman" w:hAnsi="Times New Roman" w:cs="Times New Roman"/>
          <w:noProof/>
        </w:rPr>
        <w:t>3</w:t>
      </w:r>
      <w:r w:rsidRPr="0000287E">
        <w:rPr>
          <w:rFonts w:ascii="Times New Roman" w:hAnsi="Times New Roman" w:cs="Times New Roman"/>
          <w:noProof/>
        </w:rPr>
        <w:fldChar w:fldCharType="end"/>
      </w:r>
      <w:r w:rsidRPr="0000287E">
        <w:rPr>
          <w:rFonts w:ascii="Times New Roman" w:hAnsi="Times New Roman" w:cs="Times New Roman"/>
        </w:rPr>
        <w:t>: Ukupni eksterni troškovi po kategorijama troška i prometnim modovima</w:t>
      </w:r>
      <w:bookmarkEnd w:id="39"/>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58"/>
        <w:gridCol w:w="737"/>
        <w:gridCol w:w="737"/>
        <w:gridCol w:w="737"/>
        <w:gridCol w:w="738"/>
        <w:gridCol w:w="738"/>
        <w:gridCol w:w="738"/>
        <w:gridCol w:w="738"/>
        <w:gridCol w:w="738"/>
        <w:gridCol w:w="738"/>
        <w:gridCol w:w="738"/>
        <w:gridCol w:w="727"/>
      </w:tblGrid>
      <w:tr w:rsidR="004F76A1" w:rsidRPr="0000287E" w14:paraId="79398D8A" w14:textId="77777777" w:rsidTr="00DE2F58">
        <w:trPr>
          <w:trHeight w:val="220"/>
        </w:trPr>
        <w:tc>
          <w:tcPr>
            <w:tcW w:w="529" w:type="pct"/>
            <w:vMerge w:val="restart"/>
            <w:shd w:val="clear" w:color="auto" w:fill="595959" w:themeFill="text1" w:themeFillTint="A6"/>
            <w:vAlign w:val="center"/>
          </w:tcPr>
          <w:p w14:paraId="4A9D6C08" w14:textId="77777777" w:rsidR="004F76A1" w:rsidRPr="0000287E" w:rsidRDefault="004F76A1" w:rsidP="00DE2F58">
            <w:pPr>
              <w:spacing w:after="0" w:line="240" w:lineRule="auto"/>
              <w:jc w:val="left"/>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Ukupni eksterni troškovi EU-28</w:t>
            </w:r>
          </w:p>
        </w:tc>
        <w:tc>
          <w:tcPr>
            <w:tcW w:w="2035" w:type="pct"/>
            <w:gridSpan w:val="5"/>
            <w:shd w:val="clear" w:color="auto" w:fill="595959" w:themeFill="text1" w:themeFillTint="A6"/>
            <w:vAlign w:val="center"/>
          </w:tcPr>
          <w:p w14:paraId="144653EA"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Putnički promet</w:t>
            </w:r>
          </w:p>
        </w:tc>
        <w:tc>
          <w:tcPr>
            <w:tcW w:w="407" w:type="pct"/>
            <w:shd w:val="clear" w:color="auto" w:fill="595959" w:themeFill="text1" w:themeFillTint="A6"/>
            <w:vAlign w:val="center"/>
          </w:tcPr>
          <w:p w14:paraId="690DE5C9"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w:t>
            </w:r>
          </w:p>
        </w:tc>
        <w:tc>
          <w:tcPr>
            <w:tcW w:w="2030" w:type="pct"/>
            <w:gridSpan w:val="5"/>
            <w:shd w:val="clear" w:color="auto" w:fill="595959" w:themeFill="text1" w:themeFillTint="A6"/>
            <w:vAlign w:val="center"/>
          </w:tcPr>
          <w:p w14:paraId="55354F8C"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Teretni promet</w:t>
            </w:r>
          </w:p>
        </w:tc>
      </w:tr>
      <w:tr w:rsidR="004F76A1" w:rsidRPr="0000287E" w14:paraId="66C928D7" w14:textId="77777777" w:rsidTr="00DE2F58">
        <w:trPr>
          <w:trHeight w:val="220"/>
        </w:trPr>
        <w:tc>
          <w:tcPr>
            <w:tcW w:w="529" w:type="pct"/>
            <w:vMerge/>
            <w:shd w:val="clear" w:color="auto" w:fill="595959" w:themeFill="text1" w:themeFillTint="A6"/>
            <w:vAlign w:val="center"/>
            <w:hideMark/>
          </w:tcPr>
          <w:p w14:paraId="2FF7E59D" w14:textId="77777777" w:rsidR="004F76A1" w:rsidRPr="0000287E" w:rsidRDefault="004F76A1" w:rsidP="00DE2F58">
            <w:pPr>
              <w:spacing w:after="0" w:line="240" w:lineRule="auto"/>
              <w:jc w:val="left"/>
              <w:rPr>
                <w:rFonts w:eastAsia="Times New Roman" w:cs="Times New Roman"/>
                <w:b/>
                <w:bCs/>
                <w:color w:val="FFFFFF" w:themeColor="background1"/>
                <w:sz w:val="16"/>
                <w:szCs w:val="16"/>
                <w:lang w:eastAsia="hr-HR"/>
              </w:rPr>
            </w:pPr>
          </w:p>
        </w:tc>
        <w:tc>
          <w:tcPr>
            <w:tcW w:w="407" w:type="pct"/>
            <w:shd w:val="clear" w:color="auto" w:fill="595959" w:themeFill="text1" w:themeFillTint="A6"/>
            <w:vAlign w:val="center"/>
            <w:hideMark/>
          </w:tcPr>
          <w:p w14:paraId="543082E3"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Automobil</w:t>
            </w:r>
          </w:p>
        </w:tc>
        <w:tc>
          <w:tcPr>
            <w:tcW w:w="407" w:type="pct"/>
            <w:shd w:val="clear" w:color="auto" w:fill="595959" w:themeFill="text1" w:themeFillTint="A6"/>
            <w:vAlign w:val="center"/>
            <w:hideMark/>
          </w:tcPr>
          <w:p w14:paraId="641A29E9"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Autobus</w:t>
            </w:r>
          </w:p>
        </w:tc>
        <w:tc>
          <w:tcPr>
            <w:tcW w:w="407" w:type="pct"/>
            <w:shd w:val="clear" w:color="auto" w:fill="595959" w:themeFill="text1" w:themeFillTint="A6"/>
            <w:vAlign w:val="center"/>
            <w:hideMark/>
          </w:tcPr>
          <w:p w14:paraId="5AC6BB9D"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Motocikl</w:t>
            </w:r>
          </w:p>
        </w:tc>
        <w:tc>
          <w:tcPr>
            <w:tcW w:w="407" w:type="pct"/>
            <w:shd w:val="clear" w:color="auto" w:fill="595959" w:themeFill="text1" w:themeFillTint="A6"/>
            <w:vAlign w:val="center"/>
            <w:hideMark/>
          </w:tcPr>
          <w:p w14:paraId="15186C6D"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Željeznički promet</w:t>
            </w:r>
          </w:p>
        </w:tc>
        <w:tc>
          <w:tcPr>
            <w:tcW w:w="407" w:type="pct"/>
            <w:shd w:val="clear" w:color="auto" w:fill="595959" w:themeFill="text1" w:themeFillTint="A6"/>
            <w:vAlign w:val="center"/>
            <w:hideMark/>
          </w:tcPr>
          <w:p w14:paraId="650444C6"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Zračni promet</w:t>
            </w:r>
          </w:p>
        </w:tc>
        <w:tc>
          <w:tcPr>
            <w:tcW w:w="407" w:type="pct"/>
            <w:shd w:val="clear" w:color="auto" w:fill="595959" w:themeFill="text1" w:themeFillTint="A6"/>
            <w:vAlign w:val="center"/>
            <w:hideMark/>
          </w:tcPr>
          <w:p w14:paraId="6FCF3C17" w14:textId="77777777" w:rsidR="004F76A1" w:rsidRPr="0000287E" w:rsidRDefault="004F76A1" w:rsidP="00DE2F58">
            <w:pPr>
              <w:spacing w:after="0" w:line="240" w:lineRule="auto"/>
              <w:jc w:val="center"/>
              <w:rPr>
                <w:rFonts w:eastAsia="Times New Roman" w:cs="Times New Roman"/>
                <w:b/>
                <w:bCs/>
                <w:color w:val="FFFFFF" w:themeColor="background1"/>
                <w:sz w:val="16"/>
                <w:szCs w:val="16"/>
                <w:highlight w:val="yellow"/>
                <w:lang w:eastAsia="hr-HR"/>
              </w:rPr>
            </w:pPr>
            <w:r w:rsidRPr="0000287E">
              <w:rPr>
                <w:rFonts w:eastAsia="Times New Roman" w:cs="Times New Roman"/>
                <w:b/>
                <w:bCs/>
                <w:color w:val="FFFFFF" w:themeColor="background1"/>
                <w:sz w:val="16"/>
                <w:szCs w:val="16"/>
                <w:lang w:eastAsia="hr-HR"/>
              </w:rPr>
              <w:t>Cestovni promet – laka vozila</w:t>
            </w:r>
          </w:p>
        </w:tc>
        <w:tc>
          <w:tcPr>
            <w:tcW w:w="407" w:type="pct"/>
            <w:shd w:val="clear" w:color="auto" w:fill="595959" w:themeFill="text1" w:themeFillTint="A6"/>
            <w:vAlign w:val="center"/>
            <w:hideMark/>
          </w:tcPr>
          <w:p w14:paraId="7C41283A" w14:textId="77777777" w:rsidR="004F76A1" w:rsidRPr="0000287E" w:rsidRDefault="004F76A1" w:rsidP="00DE2F58">
            <w:pPr>
              <w:spacing w:after="0" w:line="240" w:lineRule="auto"/>
              <w:jc w:val="center"/>
              <w:rPr>
                <w:rFonts w:eastAsia="Times New Roman" w:cs="Times New Roman"/>
                <w:b/>
                <w:bCs/>
                <w:color w:val="FFFFFF" w:themeColor="background1"/>
                <w:sz w:val="16"/>
                <w:szCs w:val="16"/>
                <w:highlight w:val="yellow"/>
                <w:lang w:eastAsia="hr-HR"/>
              </w:rPr>
            </w:pPr>
            <w:r w:rsidRPr="0000287E">
              <w:rPr>
                <w:rFonts w:eastAsia="Times New Roman" w:cs="Times New Roman"/>
                <w:b/>
                <w:bCs/>
                <w:color w:val="FFFFFF" w:themeColor="background1"/>
                <w:sz w:val="16"/>
                <w:szCs w:val="16"/>
                <w:lang w:eastAsia="hr-HR"/>
              </w:rPr>
              <w:t>Cestovni promet – teška vozila</w:t>
            </w:r>
          </w:p>
        </w:tc>
        <w:tc>
          <w:tcPr>
            <w:tcW w:w="407" w:type="pct"/>
            <w:shd w:val="clear" w:color="auto" w:fill="595959" w:themeFill="text1" w:themeFillTint="A6"/>
            <w:vAlign w:val="center"/>
            <w:hideMark/>
          </w:tcPr>
          <w:p w14:paraId="6AB12C3C"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Željeznički promet</w:t>
            </w:r>
          </w:p>
        </w:tc>
        <w:tc>
          <w:tcPr>
            <w:tcW w:w="407" w:type="pct"/>
            <w:shd w:val="clear" w:color="auto" w:fill="595959" w:themeFill="text1" w:themeFillTint="A6"/>
            <w:vAlign w:val="center"/>
            <w:hideMark/>
          </w:tcPr>
          <w:p w14:paraId="29FADAAE"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Unutarnja plovidba</w:t>
            </w:r>
          </w:p>
        </w:tc>
        <w:tc>
          <w:tcPr>
            <w:tcW w:w="407" w:type="pct"/>
            <w:shd w:val="clear" w:color="auto" w:fill="595959" w:themeFill="text1" w:themeFillTint="A6"/>
            <w:vAlign w:val="center"/>
            <w:hideMark/>
          </w:tcPr>
          <w:p w14:paraId="17A419BC"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Zračni promet</w:t>
            </w:r>
          </w:p>
        </w:tc>
        <w:tc>
          <w:tcPr>
            <w:tcW w:w="403" w:type="pct"/>
            <w:shd w:val="clear" w:color="auto" w:fill="595959" w:themeFill="text1" w:themeFillTint="A6"/>
            <w:vAlign w:val="center"/>
            <w:hideMark/>
          </w:tcPr>
          <w:p w14:paraId="0D7BF094" w14:textId="77777777" w:rsidR="004F76A1" w:rsidRPr="0000287E" w:rsidRDefault="004F76A1" w:rsidP="00DE2F58">
            <w:pPr>
              <w:spacing w:after="0" w:line="240" w:lineRule="auto"/>
              <w:jc w:val="center"/>
              <w:rPr>
                <w:rFonts w:eastAsia="Times New Roman" w:cs="Times New Roman"/>
                <w:b/>
                <w:bCs/>
                <w:color w:val="FFFFFF" w:themeColor="background1"/>
                <w:sz w:val="16"/>
                <w:szCs w:val="16"/>
                <w:lang w:eastAsia="hr-HR"/>
              </w:rPr>
            </w:pPr>
            <w:r w:rsidRPr="0000287E">
              <w:rPr>
                <w:rFonts w:eastAsia="Times New Roman" w:cs="Times New Roman"/>
                <w:b/>
                <w:bCs/>
                <w:color w:val="FFFFFF" w:themeColor="background1"/>
                <w:sz w:val="16"/>
                <w:szCs w:val="16"/>
                <w:lang w:eastAsia="hr-HR"/>
              </w:rPr>
              <w:t>Pomorski promet</w:t>
            </w:r>
          </w:p>
        </w:tc>
      </w:tr>
      <w:tr w:rsidR="004F76A1" w:rsidRPr="0000287E" w14:paraId="02DF8781" w14:textId="77777777" w:rsidTr="00DE2F58">
        <w:trPr>
          <w:trHeight w:val="220"/>
        </w:trPr>
        <w:tc>
          <w:tcPr>
            <w:tcW w:w="529" w:type="pct"/>
            <w:shd w:val="clear" w:color="000000" w:fill="FFFFFF"/>
            <w:vAlign w:val="center"/>
            <w:hideMark/>
          </w:tcPr>
          <w:p w14:paraId="4E30C075" w14:textId="77777777" w:rsidR="004F76A1" w:rsidRPr="0000287E" w:rsidRDefault="004F76A1" w:rsidP="00DE2F58">
            <w:pPr>
              <w:spacing w:after="0" w:line="240" w:lineRule="auto"/>
              <w:jc w:val="left"/>
              <w:rPr>
                <w:rFonts w:eastAsia="Times New Roman" w:cs="Times New Roman"/>
                <w:b/>
                <w:bCs/>
                <w:sz w:val="16"/>
                <w:szCs w:val="16"/>
                <w:lang w:eastAsia="hr-HR"/>
              </w:rPr>
            </w:pPr>
            <w:r w:rsidRPr="0000287E">
              <w:rPr>
                <w:rFonts w:eastAsia="Times New Roman" w:cs="Times New Roman"/>
                <w:b/>
                <w:bCs/>
                <w:sz w:val="16"/>
                <w:szCs w:val="16"/>
                <w:lang w:eastAsia="hr-HR"/>
              </w:rPr>
              <w:t>Kategorija</w:t>
            </w:r>
          </w:p>
        </w:tc>
        <w:tc>
          <w:tcPr>
            <w:tcW w:w="407" w:type="pct"/>
            <w:shd w:val="clear" w:color="000000" w:fill="FFFFFF"/>
            <w:vAlign w:val="center"/>
            <w:hideMark/>
          </w:tcPr>
          <w:p w14:paraId="3F54281D"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7" w:type="pct"/>
            <w:shd w:val="clear" w:color="000000" w:fill="FFFFFF"/>
            <w:vAlign w:val="center"/>
            <w:hideMark/>
          </w:tcPr>
          <w:p w14:paraId="1A93B1AF"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7" w:type="pct"/>
            <w:shd w:val="clear" w:color="000000" w:fill="FFFFFF"/>
            <w:vAlign w:val="center"/>
            <w:hideMark/>
          </w:tcPr>
          <w:p w14:paraId="2F14558D"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7" w:type="pct"/>
            <w:shd w:val="clear" w:color="000000" w:fill="FFFFFF"/>
            <w:vAlign w:val="center"/>
            <w:hideMark/>
          </w:tcPr>
          <w:p w14:paraId="3A22C6EF"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7" w:type="pct"/>
            <w:shd w:val="clear" w:color="000000" w:fill="FFFFFF"/>
            <w:vAlign w:val="center"/>
            <w:hideMark/>
          </w:tcPr>
          <w:p w14:paraId="633687F4"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7" w:type="pct"/>
            <w:shd w:val="clear" w:color="000000" w:fill="FFFFFF"/>
            <w:vAlign w:val="center"/>
            <w:hideMark/>
          </w:tcPr>
          <w:p w14:paraId="3E0A8045"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7" w:type="pct"/>
            <w:shd w:val="clear" w:color="000000" w:fill="FFFFFF"/>
            <w:vAlign w:val="center"/>
            <w:hideMark/>
          </w:tcPr>
          <w:p w14:paraId="33E7AEBC"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7" w:type="pct"/>
            <w:shd w:val="clear" w:color="000000" w:fill="FFFFFF"/>
            <w:vAlign w:val="center"/>
            <w:hideMark/>
          </w:tcPr>
          <w:p w14:paraId="5A2729B4"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7" w:type="pct"/>
            <w:shd w:val="clear" w:color="auto" w:fill="C5E0B3" w:themeFill="accent6" w:themeFillTint="66"/>
            <w:vAlign w:val="center"/>
            <w:hideMark/>
          </w:tcPr>
          <w:p w14:paraId="2B77BC34"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7" w:type="pct"/>
            <w:shd w:val="clear" w:color="000000" w:fill="FFFFFF"/>
            <w:vAlign w:val="center"/>
            <w:hideMark/>
          </w:tcPr>
          <w:p w14:paraId="2B7BDA41"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c>
          <w:tcPr>
            <w:tcW w:w="403" w:type="pct"/>
            <w:shd w:val="clear" w:color="000000" w:fill="FFFFFF"/>
            <w:vAlign w:val="center"/>
            <w:hideMark/>
          </w:tcPr>
          <w:p w14:paraId="4970AE67"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Mlrd.€/a</w:t>
            </w:r>
          </w:p>
        </w:tc>
      </w:tr>
      <w:tr w:rsidR="004F76A1" w:rsidRPr="0000287E" w14:paraId="7742FB31" w14:textId="77777777" w:rsidTr="00DE2F58">
        <w:trPr>
          <w:trHeight w:val="220"/>
        </w:trPr>
        <w:tc>
          <w:tcPr>
            <w:tcW w:w="529" w:type="pct"/>
            <w:shd w:val="clear" w:color="000000" w:fill="FFFFFF"/>
            <w:vAlign w:val="center"/>
            <w:hideMark/>
          </w:tcPr>
          <w:p w14:paraId="545E0A6C" w14:textId="77777777" w:rsidR="004F76A1" w:rsidRPr="0000287E" w:rsidRDefault="004F76A1" w:rsidP="00DE2F58">
            <w:pPr>
              <w:spacing w:after="0" w:line="240" w:lineRule="auto"/>
              <w:jc w:val="left"/>
              <w:rPr>
                <w:rFonts w:eastAsia="Times New Roman" w:cs="Times New Roman"/>
                <w:sz w:val="16"/>
                <w:szCs w:val="16"/>
                <w:lang w:eastAsia="hr-HR"/>
              </w:rPr>
            </w:pPr>
            <w:r w:rsidRPr="0000287E">
              <w:rPr>
                <w:rFonts w:eastAsia="Times New Roman" w:cs="Times New Roman"/>
                <w:sz w:val="16"/>
                <w:szCs w:val="16"/>
                <w:lang w:eastAsia="hr-HR"/>
              </w:rPr>
              <w:t>Nesreće</w:t>
            </w:r>
          </w:p>
        </w:tc>
        <w:tc>
          <w:tcPr>
            <w:tcW w:w="407" w:type="pct"/>
            <w:shd w:val="clear" w:color="000000" w:fill="FFFFFF"/>
            <w:vAlign w:val="center"/>
            <w:hideMark/>
          </w:tcPr>
          <w:p w14:paraId="36C2B1AC"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210,2</w:t>
            </w:r>
          </w:p>
        </w:tc>
        <w:tc>
          <w:tcPr>
            <w:tcW w:w="407" w:type="pct"/>
            <w:shd w:val="clear" w:color="000000" w:fill="FFFFFF"/>
            <w:vAlign w:val="center"/>
            <w:hideMark/>
          </w:tcPr>
          <w:p w14:paraId="6626D532"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5,3</w:t>
            </w:r>
          </w:p>
        </w:tc>
        <w:tc>
          <w:tcPr>
            <w:tcW w:w="407" w:type="pct"/>
            <w:shd w:val="clear" w:color="000000" w:fill="FFFFFF"/>
            <w:vAlign w:val="center"/>
            <w:hideMark/>
          </w:tcPr>
          <w:p w14:paraId="7ACDC477"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21,0</w:t>
            </w:r>
          </w:p>
        </w:tc>
        <w:tc>
          <w:tcPr>
            <w:tcW w:w="407" w:type="pct"/>
            <w:shd w:val="clear" w:color="000000" w:fill="FFFFFF"/>
            <w:vAlign w:val="center"/>
            <w:hideMark/>
          </w:tcPr>
          <w:p w14:paraId="42F6F94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2,1</w:t>
            </w:r>
          </w:p>
        </w:tc>
        <w:tc>
          <w:tcPr>
            <w:tcW w:w="407" w:type="pct"/>
            <w:shd w:val="clear" w:color="000000" w:fill="FFFFFF"/>
            <w:vAlign w:val="center"/>
            <w:hideMark/>
          </w:tcPr>
          <w:p w14:paraId="17C4D502"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0,1</w:t>
            </w:r>
          </w:p>
        </w:tc>
        <w:tc>
          <w:tcPr>
            <w:tcW w:w="407" w:type="pct"/>
            <w:shd w:val="clear" w:color="000000" w:fill="FFFFFF"/>
            <w:vAlign w:val="center"/>
            <w:hideMark/>
          </w:tcPr>
          <w:p w14:paraId="752C6F83"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19,8</w:t>
            </w:r>
          </w:p>
        </w:tc>
        <w:tc>
          <w:tcPr>
            <w:tcW w:w="407" w:type="pct"/>
            <w:shd w:val="clear" w:color="000000" w:fill="FFFFFF"/>
            <w:vAlign w:val="center"/>
            <w:hideMark/>
          </w:tcPr>
          <w:p w14:paraId="44BEE0DC"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23,0</w:t>
            </w:r>
          </w:p>
        </w:tc>
        <w:tc>
          <w:tcPr>
            <w:tcW w:w="407" w:type="pct"/>
            <w:shd w:val="clear" w:color="000000" w:fill="FFFFFF"/>
            <w:vAlign w:val="center"/>
            <w:hideMark/>
          </w:tcPr>
          <w:p w14:paraId="69C543E4"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0,3</w:t>
            </w:r>
          </w:p>
        </w:tc>
        <w:tc>
          <w:tcPr>
            <w:tcW w:w="407" w:type="pct"/>
            <w:shd w:val="clear" w:color="auto" w:fill="C5E0B3" w:themeFill="accent6" w:themeFillTint="66"/>
            <w:vAlign w:val="center"/>
            <w:hideMark/>
          </w:tcPr>
          <w:p w14:paraId="4FCA7837"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0,1</w:t>
            </w:r>
          </w:p>
        </w:tc>
        <w:tc>
          <w:tcPr>
            <w:tcW w:w="407" w:type="pct"/>
            <w:shd w:val="clear" w:color="000000" w:fill="FFFFFF"/>
            <w:vAlign w:val="center"/>
            <w:hideMark/>
          </w:tcPr>
          <w:p w14:paraId="2572AF86"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3" w:type="pct"/>
            <w:shd w:val="clear" w:color="000000" w:fill="FFFFFF"/>
            <w:vAlign w:val="center"/>
            <w:hideMark/>
          </w:tcPr>
          <w:p w14:paraId="3BC45D7B"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0,1</w:t>
            </w:r>
          </w:p>
        </w:tc>
      </w:tr>
      <w:tr w:rsidR="004F76A1" w:rsidRPr="0000287E" w14:paraId="11D8B341" w14:textId="77777777" w:rsidTr="00DE2F58">
        <w:trPr>
          <w:trHeight w:val="220"/>
        </w:trPr>
        <w:tc>
          <w:tcPr>
            <w:tcW w:w="529" w:type="pct"/>
            <w:shd w:val="clear" w:color="000000" w:fill="FFFFFF"/>
            <w:vAlign w:val="center"/>
            <w:hideMark/>
          </w:tcPr>
          <w:p w14:paraId="5FAB79E4" w14:textId="77777777" w:rsidR="004F76A1" w:rsidRPr="0000287E" w:rsidRDefault="004F76A1" w:rsidP="00DE2F58">
            <w:pPr>
              <w:spacing w:after="0" w:line="240" w:lineRule="auto"/>
              <w:jc w:val="left"/>
              <w:rPr>
                <w:rFonts w:eastAsia="Times New Roman" w:cs="Times New Roman"/>
                <w:sz w:val="16"/>
                <w:szCs w:val="16"/>
                <w:lang w:eastAsia="hr-HR"/>
              </w:rPr>
            </w:pPr>
            <w:r w:rsidRPr="0000287E">
              <w:rPr>
                <w:rFonts w:eastAsia="Times New Roman" w:cs="Times New Roman"/>
                <w:sz w:val="16"/>
                <w:szCs w:val="16"/>
                <w:lang w:eastAsia="hr-HR"/>
              </w:rPr>
              <w:t>Zagađenje zraka</w:t>
            </w:r>
          </w:p>
        </w:tc>
        <w:tc>
          <w:tcPr>
            <w:tcW w:w="407" w:type="pct"/>
            <w:shd w:val="clear" w:color="000000" w:fill="FFFFFF"/>
            <w:vAlign w:val="center"/>
            <w:hideMark/>
          </w:tcPr>
          <w:p w14:paraId="506FF9AB"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33,4</w:t>
            </w:r>
          </w:p>
        </w:tc>
        <w:tc>
          <w:tcPr>
            <w:tcW w:w="407" w:type="pct"/>
            <w:shd w:val="clear" w:color="000000" w:fill="FFFFFF"/>
            <w:vAlign w:val="center"/>
            <w:hideMark/>
          </w:tcPr>
          <w:p w14:paraId="72C9E6CA"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4,0</w:t>
            </w:r>
          </w:p>
        </w:tc>
        <w:tc>
          <w:tcPr>
            <w:tcW w:w="407" w:type="pct"/>
            <w:shd w:val="clear" w:color="000000" w:fill="FFFFFF"/>
            <w:vAlign w:val="center"/>
            <w:hideMark/>
          </w:tcPr>
          <w:p w14:paraId="46A7D323"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1,8</w:t>
            </w:r>
          </w:p>
        </w:tc>
        <w:tc>
          <w:tcPr>
            <w:tcW w:w="407" w:type="pct"/>
            <w:shd w:val="clear" w:color="000000" w:fill="FFFFFF"/>
            <w:vAlign w:val="center"/>
            <w:hideMark/>
          </w:tcPr>
          <w:p w14:paraId="2F5BB404"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0,6</w:t>
            </w:r>
          </w:p>
        </w:tc>
        <w:tc>
          <w:tcPr>
            <w:tcW w:w="407" w:type="pct"/>
            <w:shd w:val="clear" w:color="000000" w:fill="FFFFFF"/>
            <w:vAlign w:val="center"/>
            <w:hideMark/>
          </w:tcPr>
          <w:p w14:paraId="6C15D02C"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0,9</w:t>
            </w:r>
          </w:p>
        </w:tc>
        <w:tc>
          <w:tcPr>
            <w:tcW w:w="407" w:type="pct"/>
            <w:shd w:val="clear" w:color="000000" w:fill="FFFFFF"/>
            <w:vAlign w:val="center"/>
            <w:hideMark/>
          </w:tcPr>
          <w:p w14:paraId="1BE01635"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15,5</w:t>
            </w:r>
          </w:p>
        </w:tc>
        <w:tc>
          <w:tcPr>
            <w:tcW w:w="407" w:type="pct"/>
            <w:shd w:val="clear" w:color="000000" w:fill="FFFFFF"/>
            <w:vAlign w:val="center"/>
            <w:hideMark/>
          </w:tcPr>
          <w:p w14:paraId="7EC0AA38"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13,9</w:t>
            </w:r>
          </w:p>
        </w:tc>
        <w:tc>
          <w:tcPr>
            <w:tcW w:w="407" w:type="pct"/>
            <w:shd w:val="clear" w:color="000000" w:fill="FFFFFF"/>
            <w:vAlign w:val="center"/>
            <w:hideMark/>
          </w:tcPr>
          <w:p w14:paraId="404F24AC"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0,7</w:t>
            </w:r>
          </w:p>
        </w:tc>
        <w:tc>
          <w:tcPr>
            <w:tcW w:w="407" w:type="pct"/>
            <w:shd w:val="clear" w:color="auto" w:fill="C5E0B3" w:themeFill="accent6" w:themeFillTint="66"/>
            <w:vAlign w:val="center"/>
            <w:hideMark/>
          </w:tcPr>
          <w:p w14:paraId="373EBDEA"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1,9</w:t>
            </w:r>
          </w:p>
        </w:tc>
        <w:tc>
          <w:tcPr>
            <w:tcW w:w="407" w:type="pct"/>
            <w:shd w:val="clear" w:color="000000" w:fill="FFFFFF"/>
            <w:vAlign w:val="center"/>
            <w:hideMark/>
          </w:tcPr>
          <w:p w14:paraId="7D089544"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0,1</w:t>
            </w:r>
          </w:p>
        </w:tc>
        <w:tc>
          <w:tcPr>
            <w:tcW w:w="403" w:type="pct"/>
            <w:shd w:val="clear" w:color="000000" w:fill="FFFFFF"/>
            <w:vAlign w:val="center"/>
            <w:hideMark/>
          </w:tcPr>
          <w:p w14:paraId="4D535B0C"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65,0</w:t>
            </w:r>
          </w:p>
        </w:tc>
      </w:tr>
      <w:tr w:rsidR="004F76A1" w:rsidRPr="0000287E" w14:paraId="0071C44B" w14:textId="77777777" w:rsidTr="00DE2F58">
        <w:trPr>
          <w:trHeight w:val="220"/>
        </w:trPr>
        <w:tc>
          <w:tcPr>
            <w:tcW w:w="529" w:type="pct"/>
            <w:shd w:val="clear" w:color="000000" w:fill="FFFFFF"/>
            <w:vAlign w:val="center"/>
            <w:hideMark/>
          </w:tcPr>
          <w:p w14:paraId="41617A90" w14:textId="77777777" w:rsidR="004F76A1" w:rsidRPr="0000287E" w:rsidRDefault="004F76A1" w:rsidP="00DE2F58">
            <w:pPr>
              <w:spacing w:after="0" w:line="240" w:lineRule="auto"/>
              <w:jc w:val="left"/>
              <w:rPr>
                <w:rFonts w:eastAsia="Times New Roman" w:cs="Times New Roman"/>
                <w:sz w:val="16"/>
                <w:szCs w:val="16"/>
                <w:lang w:eastAsia="hr-HR"/>
              </w:rPr>
            </w:pPr>
            <w:r w:rsidRPr="0000287E">
              <w:rPr>
                <w:rFonts w:eastAsia="Times New Roman" w:cs="Times New Roman"/>
                <w:sz w:val="16"/>
                <w:szCs w:val="16"/>
                <w:lang w:eastAsia="hr-HR"/>
              </w:rPr>
              <w:t>Klimatske promjene</w:t>
            </w:r>
          </w:p>
        </w:tc>
        <w:tc>
          <w:tcPr>
            <w:tcW w:w="407" w:type="pct"/>
            <w:shd w:val="clear" w:color="000000" w:fill="FFFFFF"/>
            <w:vAlign w:val="center"/>
            <w:hideMark/>
          </w:tcPr>
          <w:p w14:paraId="53A7B7C2"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55,6</w:t>
            </w:r>
          </w:p>
        </w:tc>
        <w:tc>
          <w:tcPr>
            <w:tcW w:w="407" w:type="pct"/>
            <w:shd w:val="clear" w:color="000000" w:fill="FFFFFF"/>
            <w:vAlign w:val="center"/>
            <w:hideMark/>
          </w:tcPr>
          <w:p w14:paraId="64417853"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2,5</w:t>
            </w:r>
          </w:p>
        </w:tc>
        <w:tc>
          <w:tcPr>
            <w:tcW w:w="407" w:type="pct"/>
            <w:shd w:val="clear" w:color="000000" w:fill="FFFFFF"/>
            <w:vAlign w:val="center"/>
            <w:hideMark/>
          </w:tcPr>
          <w:p w14:paraId="3EB1E2BE"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1,5</w:t>
            </w:r>
          </w:p>
        </w:tc>
        <w:tc>
          <w:tcPr>
            <w:tcW w:w="407" w:type="pct"/>
            <w:shd w:val="clear" w:color="000000" w:fill="FFFFFF"/>
            <w:vAlign w:val="center"/>
            <w:hideMark/>
          </w:tcPr>
          <w:p w14:paraId="49545DA7"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0,2</w:t>
            </w:r>
          </w:p>
        </w:tc>
        <w:tc>
          <w:tcPr>
            <w:tcW w:w="407" w:type="pct"/>
            <w:shd w:val="clear" w:color="000000" w:fill="FFFFFF"/>
            <w:vAlign w:val="center"/>
            <w:hideMark/>
          </w:tcPr>
          <w:p w14:paraId="4499A636"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29,8</w:t>
            </w:r>
          </w:p>
        </w:tc>
        <w:tc>
          <w:tcPr>
            <w:tcW w:w="407" w:type="pct"/>
            <w:shd w:val="clear" w:color="000000" w:fill="FFFFFF"/>
            <w:vAlign w:val="center"/>
            <w:hideMark/>
          </w:tcPr>
          <w:p w14:paraId="558A3796"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13,2</w:t>
            </w:r>
          </w:p>
        </w:tc>
        <w:tc>
          <w:tcPr>
            <w:tcW w:w="407" w:type="pct"/>
            <w:shd w:val="clear" w:color="000000" w:fill="FFFFFF"/>
            <w:vAlign w:val="center"/>
            <w:hideMark/>
          </w:tcPr>
          <w:p w14:paraId="32836AC2"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9,6</w:t>
            </w:r>
          </w:p>
        </w:tc>
        <w:tc>
          <w:tcPr>
            <w:tcW w:w="407" w:type="pct"/>
            <w:shd w:val="clear" w:color="000000" w:fill="FFFFFF"/>
            <w:vAlign w:val="center"/>
            <w:hideMark/>
          </w:tcPr>
          <w:p w14:paraId="76A35237"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0,2</w:t>
            </w:r>
          </w:p>
        </w:tc>
        <w:tc>
          <w:tcPr>
            <w:tcW w:w="407" w:type="pct"/>
            <w:shd w:val="clear" w:color="auto" w:fill="C5E0B3" w:themeFill="accent6" w:themeFillTint="66"/>
            <w:vAlign w:val="center"/>
            <w:hideMark/>
          </w:tcPr>
          <w:p w14:paraId="7295FB98"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0,4</w:t>
            </w:r>
          </w:p>
        </w:tc>
        <w:tc>
          <w:tcPr>
            <w:tcW w:w="407" w:type="pct"/>
            <w:shd w:val="clear" w:color="000000" w:fill="FFFFFF"/>
            <w:vAlign w:val="center"/>
            <w:hideMark/>
          </w:tcPr>
          <w:p w14:paraId="7EE1DA8B"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2,9</w:t>
            </w:r>
          </w:p>
        </w:tc>
        <w:tc>
          <w:tcPr>
            <w:tcW w:w="403" w:type="pct"/>
            <w:shd w:val="clear" w:color="000000" w:fill="FFFFFF"/>
            <w:vAlign w:val="center"/>
            <w:hideMark/>
          </w:tcPr>
          <w:p w14:paraId="398A0F17"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24,0</w:t>
            </w:r>
          </w:p>
        </w:tc>
      </w:tr>
      <w:tr w:rsidR="004F76A1" w:rsidRPr="0000287E" w14:paraId="51EBD0A7" w14:textId="77777777" w:rsidTr="00DE2F58">
        <w:trPr>
          <w:trHeight w:val="220"/>
        </w:trPr>
        <w:tc>
          <w:tcPr>
            <w:tcW w:w="529" w:type="pct"/>
            <w:shd w:val="clear" w:color="000000" w:fill="FFFFFF"/>
            <w:vAlign w:val="center"/>
            <w:hideMark/>
          </w:tcPr>
          <w:p w14:paraId="27842A0B" w14:textId="77777777" w:rsidR="004F76A1" w:rsidRPr="0000287E" w:rsidRDefault="004F76A1" w:rsidP="00DE2F58">
            <w:pPr>
              <w:spacing w:after="0" w:line="240" w:lineRule="auto"/>
              <w:jc w:val="left"/>
              <w:rPr>
                <w:rFonts w:eastAsia="Times New Roman" w:cs="Times New Roman"/>
                <w:sz w:val="16"/>
                <w:szCs w:val="16"/>
                <w:lang w:eastAsia="hr-HR"/>
              </w:rPr>
            </w:pPr>
            <w:r w:rsidRPr="0000287E">
              <w:rPr>
                <w:rFonts w:eastAsia="Times New Roman" w:cs="Times New Roman"/>
                <w:sz w:val="16"/>
                <w:szCs w:val="16"/>
                <w:lang w:eastAsia="hr-HR"/>
              </w:rPr>
              <w:t>Buka</w:t>
            </w:r>
          </w:p>
        </w:tc>
        <w:tc>
          <w:tcPr>
            <w:tcW w:w="407" w:type="pct"/>
            <w:shd w:val="clear" w:color="000000" w:fill="FFFFFF"/>
            <w:vAlign w:val="center"/>
            <w:hideMark/>
          </w:tcPr>
          <w:p w14:paraId="144DB5B3"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26,2</w:t>
            </w:r>
          </w:p>
        </w:tc>
        <w:tc>
          <w:tcPr>
            <w:tcW w:w="407" w:type="pct"/>
            <w:shd w:val="clear" w:color="000000" w:fill="FFFFFF"/>
            <w:vAlign w:val="center"/>
            <w:hideMark/>
          </w:tcPr>
          <w:p w14:paraId="044060DF"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1,6</w:t>
            </w:r>
          </w:p>
        </w:tc>
        <w:tc>
          <w:tcPr>
            <w:tcW w:w="407" w:type="pct"/>
            <w:shd w:val="clear" w:color="000000" w:fill="FFFFFF"/>
            <w:vAlign w:val="center"/>
            <w:hideMark/>
          </w:tcPr>
          <w:p w14:paraId="34D0F5C2"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14,8</w:t>
            </w:r>
          </w:p>
        </w:tc>
        <w:tc>
          <w:tcPr>
            <w:tcW w:w="407" w:type="pct"/>
            <w:shd w:val="clear" w:color="000000" w:fill="FFFFFF"/>
            <w:vAlign w:val="center"/>
            <w:hideMark/>
          </w:tcPr>
          <w:p w14:paraId="4F70F226"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3,9</w:t>
            </w:r>
          </w:p>
        </w:tc>
        <w:tc>
          <w:tcPr>
            <w:tcW w:w="407" w:type="pct"/>
            <w:shd w:val="clear" w:color="000000" w:fill="FFFFFF"/>
            <w:vAlign w:val="center"/>
            <w:hideMark/>
          </w:tcPr>
          <w:p w14:paraId="3B0675C2"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0,8</w:t>
            </w:r>
          </w:p>
        </w:tc>
        <w:tc>
          <w:tcPr>
            <w:tcW w:w="407" w:type="pct"/>
            <w:shd w:val="clear" w:color="000000" w:fill="FFFFFF"/>
            <w:vAlign w:val="center"/>
            <w:hideMark/>
          </w:tcPr>
          <w:p w14:paraId="01E05C76"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5,4</w:t>
            </w:r>
          </w:p>
        </w:tc>
        <w:tc>
          <w:tcPr>
            <w:tcW w:w="407" w:type="pct"/>
            <w:shd w:val="clear" w:color="000000" w:fill="FFFFFF"/>
            <w:vAlign w:val="center"/>
            <w:hideMark/>
          </w:tcPr>
          <w:p w14:paraId="1747CB33"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9,1</w:t>
            </w:r>
          </w:p>
        </w:tc>
        <w:tc>
          <w:tcPr>
            <w:tcW w:w="407" w:type="pct"/>
            <w:shd w:val="clear" w:color="000000" w:fill="FFFFFF"/>
            <w:vAlign w:val="center"/>
            <w:hideMark/>
          </w:tcPr>
          <w:p w14:paraId="384B1D13"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2,5</w:t>
            </w:r>
          </w:p>
        </w:tc>
        <w:tc>
          <w:tcPr>
            <w:tcW w:w="407" w:type="pct"/>
            <w:shd w:val="clear" w:color="auto" w:fill="C5E0B3" w:themeFill="accent6" w:themeFillTint="66"/>
            <w:vAlign w:val="center"/>
            <w:hideMark/>
          </w:tcPr>
          <w:p w14:paraId="34A73F9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7" w:type="pct"/>
            <w:shd w:val="clear" w:color="000000" w:fill="FFFFFF"/>
            <w:vAlign w:val="center"/>
            <w:hideMark/>
          </w:tcPr>
          <w:p w14:paraId="0F3E531A"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3" w:type="pct"/>
            <w:shd w:val="clear" w:color="000000" w:fill="FFFFFF"/>
            <w:vAlign w:val="center"/>
            <w:hideMark/>
          </w:tcPr>
          <w:p w14:paraId="6506D37A"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r>
      <w:tr w:rsidR="004F76A1" w:rsidRPr="0000287E" w14:paraId="51B8FA30" w14:textId="77777777" w:rsidTr="00DE2F58">
        <w:trPr>
          <w:trHeight w:val="220"/>
        </w:trPr>
        <w:tc>
          <w:tcPr>
            <w:tcW w:w="529" w:type="pct"/>
            <w:shd w:val="clear" w:color="000000" w:fill="FFFFFF"/>
            <w:vAlign w:val="center"/>
            <w:hideMark/>
          </w:tcPr>
          <w:p w14:paraId="5EB06EA2" w14:textId="77777777" w:rsidR="004F76A1" w:rsidRPr="0000287E" w:rsidRDefault="004F76A1" w:rsidP="00DE2F58">
            <w:pPr>
              <w:spacing w:after="0" w:line="240" w:lineRule="auto"/>
              <w:jc w:val="left"/>
              <w:rPr>
                <w:rFonts w:eastAsia="Times New Roman" w:cs="Times New Roman"/>
                <w:sz w:val="16"/>
                <w:szCs w:val="16"/>
                <w:lang w:eastAsia="hr-HR"/>
              </w:rPr>
            </w:pPr>
            <w:r w:rsidRPr="0000287E">
              <w:rPr>
                <w:rFonts w:eastAsia="Times New Roman" w:cs="Times New Roman"/>
                <w:sz w:val="16"/>
                <w:szCs w:val="16"/>
                <w:lang w:eastAsia="hr-HR"/>
              </w:rPr>
              <w:t>Prometna zagušenja</w:t>
            </w:r>
          </w:p>
        </w:tc>
        <w:tc>
          <w:tcPr>
            <w:tcW w:w="407" w:type="pct"/>
            <w:shd w:val="clear" w:color="000000" w:fill="FFFFFF"/>
            <w:vAlign w:val="center"/>
            <w:hideMark/>
          </w:tcPr>
          <w:p w14:paraId="31912022"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196,1</w:t>
            </w:r>
          </w:p>
        </w:tc>
        <w:tc>
          <w:tcPr>
            <w:tcW w:w="407" w:type="pct"/>
            <w:shd w:val="clear" w:color="000000" w:fill="FFFFFF"/>
            <w:vAlign w:val="center"/>
            <w:hideMark/>
          </w:tcPr>
          <w:p w14:paraId="278A85AE"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4,5</w:t>
            </w:r>
          </w:p>
        </w:tc>
        <w:tc>
          <w:tcPr>
            <w:tcW w:w="407" w:type="pct"/>
            <w:shd w:val="clear" w:color="000000" w:fill="FFFFFF"/>
            <w:vAlign w:val="center"/>
            <w:hideMark/>
          </w:tcPr>
          <w:p w14:paraId="08372913"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7" w:type="pct"/>
            <w:shd w:val="clear" w:color="000000" w:fill="FFFFFF"/>
            <w:vAlign w:val="center"/>
            <w:hideMark/>
          </w:tcPr>
          <w:p w14:paraId="472F6E9B"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7" w:type="pct"/>
            <w:shd w:val="clear" w:color="000000" w:fill="FFFFFF"/>
            <w:vAlign w:val="center"/>
            <w:hideMark/>
          </w:tcPr>
          <w:p w14:paraId="01B30CB3"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7" w:type="pct"/>
            <w:shd w:val="clear" w:color="000000" w:fill="FFFFFF"/>
            <w:vAlign w:val="center"/>
            <w:hideMark/>
          </w:tcPr>
          <w:p w14:paraId="4CFAE114"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55,5</w:t>
            </w:r>
          </w:p>
        </w:tc>
        <w:tc>
          <w:tcPr>
            <w:tcW w:w="407" w:type="pct"/>
            <w:shd w:val="clear" w:color="000000" w:fill="FFFFFF"/>
            <w:vAlign w:val="center"/>
            <w:hideMark/>
          </w:tcPr>
          <w:p w14:paraId="4F99A2FE"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14,6</w:t>
            </w:r>
          </w:p>
        </w:tc>
        <w:tc>
          <w:tcPr>
            <w:tcW w:w="407" w:type="pct"/>
            <w:shd w:val="clear" w:color="000000" w:fill="FFFFFF"/>
            <w:vAlign w:val="center"/>
            <w:hideMark/>
          </w:tcPr>
          <w:p w14:paraId="540EDC3D"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7" w:type="pct"/>
            <w:shd w:val="clear" w:color="auto" w:fill="C5E0B3" w:themeFill="accent6" w:themeFillTint="66"/>
            <w:vAlign w:val="center"/>
            <w:hideMark/>
          </w:tcPr>
          <w:p w14:paraId="5923F49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7" w:type="pct"/>
            <w:shd w:val="clear" w:color="000000" w:fill="FFFFFF"/>
            <w:vAlign w:val="center"/>
            <w:hideMark/>
          </w:tcPr>
          <w:p w14:paraId="536A217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3" w:type="pct"/>
            <w:shd w:val="clear" w:color="000000" w:fill="FFFFFF"/>
            <w:vAlign w:val="center"/>
            <w:hideMark/>
          </w:tcPr>
          <w:p w14:paraId="29919976"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r>
      <w:tr w:rsidR="004F76A1" w:rsidRPr="0000287E" w14:paraId="1A290A9E" w14:textId="77777777" w:rsidTr="00DE2F58">
        <w:trPr>
          <w:trHeight w:val="220"/>
        </w:trPr>
        <w:tc>
          <w:tcPr>
            <w:tcW w:w="529" w:type="pct"/>
            <w:shd w:val="clear" w:color="000000" w:fill="FFFFFF"/>
            <w:vAlign w:val="center"/>
            <w:hideMark/>
          </w:tcPr>
          <w:p w14:paraId="4062F7BA" w14:textId="77777777" w:rsidR="004F76A1" w:rsidRPr="0000287E" w:rsidRDefault="004F76A1" w:rsidP="00DE2F58">
            <w:pPr>
              <w:spacing w:after="0" w:line="240" w:lineRule="auto"/>
              <w:jc w:val="left"/>
              <w:rPr>
                <w:rFonts w:eastAsia="Times New Roman" w:cs="Times New Roman"/>
                <w:sz w:val="16"/>
                <w:szCs w:val="16"/>
                <w:lang w:eastAsia="hr-HR"/>
              </w:rPr>
            </w:pPr>
            <w:r w:rsidRPr="0000287E">
              <w:rPr>
                <w:rFonts w:eastAsia="Times New Roman" w:cs="Times New Roman"/>
                <w:sz w:val="16"/>
                <w:szCs w:val="16"/>
                <w:lang w:eastAsia="hr-HR"/>
              </w:rPr>
              <w:t>Well-to-Tank</w:t>
            </w:r>
          </w:p>
        </w:tc>
        <w:tc>
          <w:tcPr>
            <w:tcW w:w="407" w:type="pct"/>
            <w:shd w:val="clear" w:color="000000" w:fill="FFFFFF"/>
            <w:vAlign w:val="center"/>
            <w:hideMark/>
          </w:tcPr>
          <w:p w14:paraId="2FC670D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18,1</w:t>
            </w:r>
          </w:p>
        </w:tc>
        <w:tc>
          <w:tcPr>
            <w:tcW w:w="407" w:type="pct"/>
            <w:shd w:val="clear" w:color="000000" w:fill="FFFFFF"/>
            <w:vAlign w:val="center"/>
            <w:hideMark/>
          </w:tcPr>
          <w:p w14:paraId="6AE2B806"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0,8</w:t>
            </w:r>
          </w:p>
        </w:tc>
        <w:tc>
          <w:tcPr>
            <w:tcW w:w="407" w:type="pct"/>
            <w:shd w:val="clear" w:color="000000" w:fill="FFFFFF"/>
            <w:vAlign w:val="center"/>
            <w:hideMark/>
          </w:tcPr>
          <w:p w14:paraId="16BA9D91"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0,8</w:t>
            </w:r>
          </w:p>
        </w:tc>
        <w:tc>
          <w:tcPr>
            <w:tcW w:w="407" w:type="pct"/>
            <w:shd w:val="clear" w:color="000000" w:fill="FFFFFF"/>
            <w:vAlign w:val="center"/>
            <w:hideMark/>
          </w:tcPr>
          <w:p w14:paraId="103B7FFF"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3,1</w:t>
            </w:r>
          </w:p>
        </w:tc>
        <w:tc>
          <w:tcPr>
            <w:tcW w:w="407" w:type="pct"/>
            <w:shd w:val="clear" w:color="000000" w:fill="FFFFFF"/>
            <w:vAlign w:val="center"/>
            <w:hideMark/>
          </w:tcPr>
          <w:p w14:paraId="55AA1594"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11,9</w:t>
            </w:r>
          </w:p>
        </w:tc>
        <w:tc>
          <w:tcPr>
            <w:tcW w:w="407" w:type="pct"/>
            <w:shd w:val="clear" w:color="000000" w:fill="FFFFFF"/>
            <w:vAlign w:val="center"/>
            <w:hideMark/>
          </w:tcPr>
          <w:p w14:paraId="790AB497"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3,8</w:t>
            </w:r>
          </w:p>
        </w:tc>
        <w:tc>
          <w:tcPr>
            <w:tcW w:w="407" w:type="pct"/>
            <w:shd w:val="clear" w:color="000000" w:fill="FFFFFF"/>
            <w:vAlign w:val="center"/>
            <w:hideMark/>
          </w:tcPr>
          <w:p w14:paraId="2ABEFF4A"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3,7</w:t>
            </w:r>
          </w:p>
        </w:tc>
        <w:tc>
          <w:tcPr>
            <w:tcW w:w="407" w:type="pct"/>
            <w:shd w:val="clear" w:color="000000" w:fill="FFFFFF"/>
            <w:vAlign w:val="center"/>
            <w:hideMark/>
          </w:tcPr>
          <w:p w14:paraId="7C548C3A"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0,6</w:t>
            </w:r>
          </w:p>
        </w:tc>
        <w:tc>
          <w:tcPr>
            <w:tcW w:w="407" w:type="pct"/>
            <w:shd w:val="clear" w:color="auto" w:fill="C5E0B3" w:themeFill="accent6" w:themeFillTint="66"/>
            <w:vAlign w:val="center"/>
            <w:hideMark/>
          </w:tcPr>
          <w:p w14:paraId="52947ED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0,2</w:t>
            </w:r>
          </w:p>
        </w:tc>
        <w:tc>
          <w:tcPr>
            <w:tcW w:w="407" w:type="pct"/>
            <w:shd w:val="clear" w:color="000000" w:fill="FFFFFF"/>
            <w:vAlign w:val="center"/>
            <w:hideMark/>
          </w:tcPr>
          <w:p w14:paraId="25D1C137"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1,3</w:t>
            </w:r>
          </w:p>
        </w:tc>
        <w:tc>
          <w:tcPr>
            <w:tcW w:w="403" w:type="pct"/>
            <w:shd w:val="clear" w:color="000000" w:fill="FFFFFF"/>
            <w:vAlign w:val="center"/>
            <w:hideMark/>
          </w:tcPr>
          <w:p w14:paraId="7AEE11AD"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9,0</w:t>
            </w:r>
          </w:p>
        </w:tc>
      </w:tr>
      <w:tr w:rsidR="004F76A1" w:rsidRPr="0000287E" w14:paraId="66DCD345" w14:textId="77777777" w:rsidTr="00DE2F58">
        <w:trPr>
          <w:trHeight w:val="220"/>
        </w:trPr>
        <w:tc>
          <w:tcPr>
            <w:tcW w:w="529" w:type="pct"/>
            <w:shd w:val="clear" w:color="000000" w:fill="FFFFFF"/>
            <w:vAlign w:val="center"/>
            <w:hideMark/>
          </w:tcPr>
          <w:p w14:paraId="3389111D" w14:textId="77777777" w:rsidR="004F76A1" w:rsidRPr="0000287E" w:rsidRDefault="004F76A1" w:rsidP="00DE2F58">
            <w:pPr>
              <w:spacing w:after="0" w:line="240" w:lineRule="auto"/>
              <w:jc w:val="left"/>
              <w:rPr>
                <w:rFonts w:eastAsia="Times New Roman" w:cs="Times New Roman"/>
                <w:sz w:val="16"/>
                <w:szCs w:val="16"/>
                <w:lang w:eastAsia="hr-HR"/>
              </w:rPr>
            </w:pPr>
            <w:r w:rsidRPr="0000287E">
              <w:rPr>
                <w:rFonts w:eastAsia="Times New Roman" w:cs="Times New Roman"/>
                <w:sz w:val="16"/>
                <w:szCs w:val="16"/>
                <w:lang w:eastAsia="hr-HR"/>
              </w:rPr>
              <w:t>Narušavanje prirodnih staništa</w:t>
            </w:r>
          </w:p>
        </w:tc>
        <w:tc>
          <w:tcPr>
            <w:tcW w:w="407" w:type="pct"/>
            <w:shd w:val="clear" w:color="000000" w:fill="FFFFFF"/>
            <w:vAlign w:val="center"/>
            <w:hideMark/>
          </w:tcPr>
          <w:p w14:paraId="2C62447A"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25,9</w:t>
            </w:r>
          </w:p>
        </w:tc>
        <w:tc>
          <w:tcPr>
            <w:tcW w:w="407" w:type="pct"/>
            <w:shd w:val="clear" w:color="000000" w:fill="FFFFFF"/>
            <w:vAlign w:val="center"/>
            <w:hideMark/>
          </w:tcPr>
          <w:p w14:paraId="50E9C5F9"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0,6</w:t>
            </w:r>
          </w:p>
        </w:tc>
        <w:tc>
          <w:tcPr>
            <w:tcW w:w="407" w:type="pct"/>
            <w:shd w:val="clear" w:color="000000" w:fill="FFFFFF"/>
            <w:vAlign w:val="center"/>
            <w:hideMark/>
          </w:tcPr>
          <w:p w14:paraId="335CD08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0,5</w:t>
            </w:r>
          </w:p>
        </w:tc>
        <w:tc>
          <w:tcPr>
            <w:tcW w:w="407" w:type="pct"/>
            <w:shd w:val="clear" w:color="000000" w:fill="FFFFFF"/>
            <w:vAlign w:val="center"/>
            <w:hideMark/>
          </w:tcPr>
          <w:p w14:paraId="0AB79FB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2,7</w:t>
            </w:r>
          </w:p>
        </w:tc>
        <w:tc>
          <w:tcPr>
            <w:tcW w:w="407" w:type="pct"/>
            <w:shd w:val="clear" w:color="000000" w:fill="FFFFFF"/>
            <w:vAlign w:val="center"/>
            <w:hideMark/>
          </w:tcPr>
          <w:p w14:paraId="4175C69B"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7" w:type="pct"/>
            <w:shd w:val="clear" w:color="000000" w:fill="FFFFFF"/>
            <w:vAlign w:val="center"/>
            <w:hideMark/>
          </w:tcPr>
          <w:p w14:paraId="5E50ED77"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4,4</w:t>
            </w:r>
          </w:p>
        </w:tc>
        <w:tc>
          <w:tcPr>
            <w:tcW w:w="407" w:type="pct"/>
            <w:shd w:val="clear" w:color="000000" w:fill="FFFFFF"/>
            <w:vAlign w:val="center"/>
            <w:hideMark/>
          </w:tcPr>
          <w:p w14:paraId="61B2E12B"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3,6</w:t>
            </w:r>
          </w:p>
        </w:tc>
        <w:tc>
          <w:tcPr>
            <w:tcW w:w="407" w:type="pct"/>
            <w:shd w:val="clear" w:color="000000" w:fill="FFFFFF"/>
            <w:vAlign w:val="center"/>
            <w:hideMark/>
          </w:tcPr>
          <w:p w14:paraId="267520E3"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1,0</w:t>
            </w:r>
          </w:p>
        </w:tc>
        <w:tc>
          <w:tcPr>
            <w:tcW w:w="407" w:type="pct"/>
            <w:shd w:val="clear" w:color="auto" w:fill="C5E0B3" w:themeFill="accent6" w:themeFillTint="66"/>
            <w:vAlign w:val="center"/>
            <w:hideMark/>
          </w:tcPr>
          <w:p w14:paraId="767B7E6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0,3</w:t>
            </w:r>
          </w:p>
        </w:tc>
        <w:tc>
          <w:tcPr>
            <w:tcW w:w="407" w:type="pct"/>
            <w:shd w:val="clear" w:color="000000" w:fill="FFFFFF"/>
            <w:vAlign w:val="center"/>
            <w:hideMark/>
          </w:tcPr>
          <w:p w14:paraId="7AAC27E0"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c>
          <w:tcPr>
            <w:tcW w:w="403" w:type="pct"/>
            <w:shd w:val="clear" w:color="000000" w:fill="FFFFFF"/>
            <w:vAlign w:val="center"/>
            <w:hideMark/>
          </w:tcPr>
          <w:p w14:paraId="3982B815" w14:textId="77777777" w:rsidR="004F76A1" w:rsidRPr="0000287E" w:rsidRDefault="004F76A1" w:rsidP="00DE2F58">
            <w:pPr>
              <w:spacing w:after="0" w:line="240" w:lineRule="auto"/>
              <w:jc w:val="center"/>
              <w:rPr>
                <w:rFonts w:eastAsia="Times New Roman" w:cs="Times New Roman"/>
                <w:sz w:val="16"/>
                <w:szCs w:val="16"/>
                <w:lang w:eastAsia="hr-HR"/>
              </w:rPr>
            </w:pPr>
            <w:r w:rsidRPr="0000287E">
              <w:rPr>
                <w:rFonts w:eastAsia="Times New Roman" w:cs="Times New Roman"/>
                <w:sz w:val="16"/>
                <w:szCs w:val="16"/>
                <w:lang w:eastAsia="hr-HR"/>
              </w:rPr>
              <w:t>0,0</w:t>
            </w:r>
          </w:p>
        </w:tc>
      </w:tr>
      <w:tr w:rsidR="004F76A1" w:rsidRPr="0000287E" w14:paraId="507874DC" w14:textId="77777777" w:rsidTr="00DE2F58">
        <w:trPr>
          <w:trHeight w:val="220"/>
        </w:trPr>
        <w:tc>
          <w:tcPr>
            <w:tcW w:w="529" w:type="pct"/>
            <w:shd w:val="clear" w:color="000000" w:fill="FFFFFF"/>
            <w:vAlign w:val="center"/>
            <w:hideMark/>
          </w:tcPr>
          <w:p w14:paraId="40A1EF82" w14:textId="77777777" w:rsidR="004F76A1" w:rsidRPr="0000287E" w:rsidRDefault="004F76A1" w:rsidP="00DE2F58">
            <w:pPr>
              <w:spacing w:after="0" w:line="240" w:lineRule="auto"/>
              <w:jc w:val="left"/>
              <w:rPr>
                <w:rFonts w:eastAsia="Times New Roman" w:cs="Times New Roman"/>
                <w:b/>
                <w:bCs/>
                <w:sz w:val="16"/>
                <w:szCs w:val="16"/>
                <w:lang w:eastAsia="hr-HR"/>
              </w:rPr>
            </w:pPr>
            <w:r w:rsidRPr="0000287E">
              <w:rPr>
                <w:rFonts w:eastAsia="Times New Roman" w:cs="Times New Roman"/>
                <w:b/>
                <w:bCs/>
                <w:sz w:val="16"/>
                <w:szCs w:val="16"/>
                <w:lang w:eastAsia="hr-HR"/>
              </w:rPr>
              <w:t>Ukupno</w:t>
            </w:r>
          </w:p>
        </w:tc>
        <w:tc>
          <w:tcPr>
            <w:tcW w:w="407" w:type="pct"/>
            <w:shd w:val="clear" w:color="000000" w:fill="FFFFFF"/>
            <w:vAlign w:val="center"/>
            <w:hideMark/>
          </w:tcPr>
          <w:p w14:paraId="1F6E2838"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565,4</w:t>
            </w:r>
          </w:p>
        </w:tc>
        <w:tc>
          <w:tcPr>
            <w:tcW w:w="407" w:type="pct"/>
            <w:shd w:val="clear" w:color="000000" w:fill="FFFFFF"/>
            <w:vAlign w:val="center"/>
            <w:hideMark/>
          </w:tcPr>
          <w:p w14:paraId="6009A596"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19,3</w:t>
            </w:r>
          </w:p>
        </w:tc>
        <w:tc>
          <w:tcPr>
            <w:tcW w:w="407" w:type="pct"/>
            <w:shd w:val="clear" w:color="000000" w:fill="FFFFFF"/>
            <w:vAlign w:val="center"/>
            <w:hideMark/>
          </w:tcPr>
          <w:p w14:paraId="6D226300"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40,5</w:t>
            </w:r>
          </w:p>
        </w:tc>
        <w:tc>
          <w:tcPr>
            <w:tcW w:w="407" w:type="pct"/>
            <w:shd w:val="clear" w:color="000000" w:fill="FFFFFF"/>
            <w:vAlign w:val="center"/>
            <w:hideMark/>
          </w:tcPr>
          <w:p w14:paraId="5B3CEC56"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12,5</w:t>
            </w:r>
          </w:p>
        </w:tc>
        <w:tc>
          <w:tcPr>
            <w:tcW w:w="407" w:type="pct"/>
            <w:shd w:val="clear" w:color="000000" w:fill="FFFFFF"/>
            <w:vAlign w:val="center"/>
            <w:hideMark/>
          </w:tcPr>
          <w:p w14:paraId="4B438A77"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43,6</w:t>
            </w:r>
          </w:p>
        </w:tc>
        <w:tc>
          <w:tcPr>
            <w:tcW w:w="407" w:type="pct"/>
            <w:shd w:val="clear" w:color="000000" w:fill="FFFFFF"/>
            <w:vAlign w:val="center"/>
            <w:hideMark/>
          </w:tcPr>
          <w:p w14:paraId="7923CE4B"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117,6</w:t>
            </w:r>
          </w:p>
        </w:tc>
        <w:tc>
          <w:tcPr>
            <w:tcW w:w="407" w:type="pct"/>
            <w:shd w:val="clear" w:color="000000" w:fill="FFFFFF"/>
            <w:vAlign w:val="center"/>
            <w:hideMark/>
          </w:tcPr>
          <w:p w14:paraId="6DAE15FE"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77,5</w:t>
            </w:r>
          </w:p>
        </w:tc>
        <w:tc>
          <w:tcPr>
            <w:tcW w:w="407" w:type="pct"/>
            <w:shd w:val="clear" w:color="000000" w:fill="FFFFFF"/>
            <w:vAlign w:val="center"/>
            <w:hideMark/>
          </w:tcPr>
          <w:p w14:paraId="4A8EB020"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5,4</w:t>
            </w:r>
          </w:p>
        </w:tc>
        <w:tc>
          <w:tcPr>
            <w:tcW w:w="407" w:type="pct"/>
            <w:shd w:val="clear" w:color="auto" w:fill="C5E0B3" w:themeFill="accent6" w:themeFillTint="66"/>
            <w:vAlign w:val="center"/>
            <w:hideMark/>
          </w:tcPr>
          <w:p w14:paraId="5F07A965"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2,9</w:t>
            </w:r>
          </w:p>
        </w:tc>
        <w:tc>
          <w:tcPr>
            <w:tcW w:w="407" w:type="pct"/>
            <w:shd w:val="clear" w:color="000000" w:fill="FFFFFF"/>
            <w:vAlign w:val="center"/>
            <w:hideMark/>
          </w:tcPr>
          <w:p w14:paraId="43FA6580"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4,3</w:t>
            </w:r>
          </w:p>
        </w:tc>
        <w:tc>
          <w:tcPr>
            <w:tcW w:w="403" w:type="pct"/>
            <w:shd w:val="clear" w:color="000000" w:fill="FFFFFF"/>
            <w:vAlign w:val="center"/>
            <w:hideMark/>
          </w:tcPr>
          <w:p w14:paraId="7814C939" w14:textId="77777777" w:rsidR="004F76A1" w:rsidRPr="0000287E" w:rsidRDefault="004F76A1" w:rsidP="00DE2F58">
            <w:pPr>
              <w:spacing w:after="0" w:line="240" w:lineRule="auto"/>
              <w:jc w:val="center"/>
              <w:rPr>
                <w:rFonts w:eastAsia="Times New Roman" w:cs="Times New Roman"/>
                <w:b/>
                <w:bCs/>
                <w:sz w:val="16"/>
                <w:szCs w:val="16"/>
                <w:lang w:eastAsia="hr-HR"/>
              </w:rPr>
            </w:pPr>
            <w:r w:rsidRPr="0000287E">
              <w:rPr>
                <w:rFonts w:eastAsia="Times New Roman" w:cs="Times New Roman"/>
                <w:b/>
                <w:bCs/>
                <w:sz w:val="16"/>
                <w:szCs w:val="16"/>
                <w:lang w:eastAsia="hr-HR"/>
              </w:rPr>
              <w:t>98,1</w:t>
            </w:r>
          </w:p>
        </w:tc>
      </w:tr>
    </w:tbl>
    <w:p w14:paraId="3827FE27" w14:textId="77777777" w:rsidR="004F76A1" w:rsidRPr="0000287E" w:rsidRDefault="004F76A1" w:rsidP="004F76A1">
      <w:pPr>
        <w:spacing w:before="240"/>
        <w:jc w:val="center"/>
        <w:rPr>
          <w:rFonts w:cs="Times New Roman"/>
          <w:b/>
          <w:bCs/>
          <w:sz w:val="20"/>
          <w:szCs w:val="20"/>
        </w:rPr>
      </w:pPr>
      <w:r w:rsidRPr="0000287E">
        <w:rPr>
          <w:rFonts w:cs="Times New Roman"/>
          <w:b/>
          <w:bCs/>
          <w:sz w:val="20"/>
          <w:szCs w:val="20"/>
        </w:rPr>
        <w:t xml:space="preserve">Izvor: Europska komisija, </w:t>
      </w:r>
      <w:r w:rsidRPr="0000287E">
        <w:rPr>
          <w:rFonts w:cs="Times New Roman"/>
          <w:b/>
          <w:bCs/>
          <w:i/>
          <w:iCs/>
          <w:sz w:val="20"/>
          <w:szCs w:val="20"/>
        </w:rPr>
        <w:t>Handbook on the external costs of transport</w:t>
      </w:r>
      <w:r w:rsidRPr="0000287E">
        <w:rPr>
          <w:rFonts w:cs="Times New Roman"/>
          <w:b/>
          <w:bCs/>
          <w:sz w:val="20"/>
          <w:szCs w:val="20"/>
        </w:rPr>
        <w:t>, 2019</w:t>
      </w:r>
    </w:p>
    <w:p w14:paraId="714DFD06" w14:textId="77777777" w:rsidR="004F76A1" w:rsidRPr="0000287E" w:rsidRDefault="004F76A1" w:rsidP="004F76A1">
      <w:pPr>
        <w:rPr>
          <w:rFonts w:cs="Times New Roman"/>
        </w:rPr>
      </w:pPr>
      <w:r w:rsidRPr="0000287E">
        <w:rPr>
          <w:rFonts w:cs="Times New Roman"/>
        </w:rPr>
        <w:t xml:space="preserve">Iz rezultata provedene studije prikazanih u Priručniku o eksternim troškovima prometa Europske komisije vidljivo je da promet unutarnjim plovnim putovima ima najmanje ukupne eksterne troškove od svih modova prijevoza. Pomet unutarnjim plovnim putovima je tih i ne stvaraju se prometna zagušenja, za razliku od cestovnog i djelomično željezničkog prometa. </w:t>
      </w:r>
      <w:r w:rsidRPr="0000287E">
        <w:rPr>
          <w:rFonts w:cs="Times New Roman"/>
        </w:rPr>
        <w:lastRenderedPageBreak/>
        <w:t>Nesreće su također vrlo rijetke. Neki učinci i s njima povezani eksterni troškovi zabilježeni su u dijelu utjecaja na okoliš, no ukupno gledajući ti su učinci manji u usporedbi s drugim modovima prometa, a naročito u usporedbi s cestovnim prometom. Najveći, iako i dalje niski, eksterni troškovi su u unutarnjoj plovidbi zabilježeni za kategoriju onečišćenja zraka, no to je ponajviše uzrokovano činjenicom da plovila na rijekama koriste motore s dugim životnim vijekom, što znači da se zamjena postojećih motora novima koja manje zagađuju zrak događa sporije i kroz duži vremenski period.</w:t>
      </w:r>
    </w:p>
    <w:p w14:paraId="57F0CDBC" w14:textId="77777777" w:rsidR="004F76A1" w:rsidRPr="0000287E" w:rsidRDefault="004F76A1" w:rsidP="004F76A1">
      <w:pPr>
        <w:rPr>
          <w:rFonts w:cs="Times New Roman"/>
        </w:rPr>
      </w:pPr>
      <w:r w:rsidRPr="0000287E">
        <w:rPr>
          <w:rFonts w:cs="Times New Roman"/>
        </w:rPr>
        <w:t>U kontekstu europske i međunarodne politike zaštite okoliša, koja je primarno sadržana u Europskom zelenom planu (odnosno budućem Europskom zakonu o klimi) i Pariškom sporazumu, cilj je do 2050. godine svesti emisije stakleničkih plinova na nulu, EU učiniti klimatski neutralnom, unaprijediti učinkovito iskorištavanje resursa prelaskom na čisto kružno gospodarstvo te obnoviti biološke raznolikosti i smanjiti onečišćenja. Paket mjera donesenih u sklopu Europskog zelenog plana sadrži, između ostalog, i mjere za postizanje održivog i pametnog prometnog sustava, a jedna od mjera izričito predviđa inicijative za povećanje korištenja kapaciteta željeznice i unutarnjih plovnih putova.</w:t>
      </w:r>
    </w:p>
    <w:p w14:paraId="4C117731" w14:textId="77777777" w:rsidR="004F76A1" w:rsidRPr="0000287E" w:rsidRDefault="004F76A1" w:rsidP="004F76A1">
      <w:pPr>
        <w:rPr>
          <w:rFonts w:cs="Times New Roman"/>
        </w:rPr>
      </w:pPr>
      <w:r w:rsidRPr="0000287E">
        <w:rPr>
          <w:rFonts w:cs="Times New Roman"/>
        </w:rPr>
        <w:t>Slijedom svega navedenog, vidljivo je da je promet unutarnjim plovnim putovima prepoznat kao prometni mod u čiji je razvoj potrebno ulagati i čijem korištenju će se u narednim desetljećima težiti kao jednoj od ključnih alternativa cestovnom prometu. Obaveza Republike Hrvatske kao zemlje članice EU je da doprinosi europskim politikama, uključujući i prometne i okolišne i energetske koje su zapravo potpuno nerazdvojne i sve će se uže promatrati njihovi među utjecaji. U tom je smislu razvoj sektora unutarnje plovidbe prijeko potreban.</w:t>
      </w:r>
    </w:p>
    <w:p w14:paraId="55168118" w14:textId="486E5A40" w:rsidR="004F76A1" w:rsidRPr="0000287E" w:rsidRDefault="004F76A1" w:rsidP="004F76A1">
      <w:pPr>
        <w:rPr>
          <w:rFonts w:cs="Times New Roman"/>
        </w:rPr>
      </w:pPr>
      <w:r w:rsidRPr="0000287E">
        <w:rPr>
          <w:rFonts w:cs="Times New Roman"/>
        </w:rPr>
        <w:t>Trenutno u Republici Hrvatskoj ne postoje propisi i pravila kojima bi se uredilo područje eksternih troškova (primjerice kroz poreznu politiku, subvencije ili olakšice), no načelo „onečišćivač plaća“ inkorporirano je u Zakon o zaštiti okoliša, a Strategija prometnog razvoja Republike Hrvatske za razdoblje od 2017. do 2030. godine predviđa opće mjere za podizanje energetske učinkovitosti prometnog sustava (mjera G.6), smanjenje negativnih ekoloških utjecaja prometa (mjera G.12) i prilagođavanje klimatskim promjenama i njihovo ublažavanje (mjera G.13). U skladu s time u narednom razdoblju očekuje se provedba aktivnosti i mjera kojima bi se adresiralo pitanje naplate eksternih troškova, odnosno poticaja za one modove prometa koji imaju manje negativne učinke na društvo i okoliš te za korisnike tih prometnih modova. Da bi se odabrale konkretne mjere i definirale politike naplate eksternih troškova, potrebna je šira suradnja na nacionalnoj, pa i na međunarodnoj razini. Odabiru najprikladnijih mjera trebaju prethoditi detaljne analize u koje će biti uključeni tehnološki, okolišni, socio-ekonomski, financijski, regulatorni i drugi aspekti koji odražavaju specifičnosti Republike Hrvatske (poput gustoće naseljenosti i geografskih karakteristika). Stoga je neophodan multidisciplnarni pristup pri fo</w:t>
      </w:r>
      <w:r w:rsidR="00A933E3">
        <w:rPr>
          <w:rFonts w:cs="Times New Roman"/>
        </w:rPr>
        <w:t>r</w:t>
      </w:r>
      <w:r w:rsidRPr="0000287E">
        <w:rPr>
          <w:rFonts w:cs="Times New Roman"/>
        </w:rPr>
        <w:t xml:space="preserve">miranju radnih skupina i provedbi analiza koje će služiti kao podloge za definiranje politika i pravnih akata. Politike naplate eksternih troškova dio su fiskalne politike te će biti potrebna uska suradnja s tijelom državne uprave nadležnim za financije. </w:t>
      </w:r>
    </w:p>
    <w:p w14:paraId="5B635DF1" w14:textId="77777777" w:rsidR="004F76A1" w:rsidRPr="0000287E" w:rsidRDefault="004F76A1" w:rsidP="004F76A1">
      <w:pPr>
        <w:rPr>
          <w:rFonts w:cs="Times New Roman"/>
        </w:rPr>
      </w:pPr>
      <w:r w:rsidRPr="0000287E">
        <w:rPr>
          <w:rFonts w:cs="Times New Roman"/>
        </w:rPr>
        <w:t>Neke od metoda valorizacije eksternih troškova koje se primjenjuju u drugim zemljama ili se razmatraju kao koncepti, a preporučuje ih se razmotriti i pri definiranju politika naplate eksternih troškova u Republici Hrvatskoj, su:</w:t>
      </w:r>
    </w:p>
    <w:p w14:paraId="0E17D9CB" w14:textId="77777777" w:rsidR="004F76A1" w:rsidRPr="0000287E" w:rsidRDefault="004F76A1" w:rsidP="004F76A1">
      <w:pPr>
        <w:pStyle w:val="ListParagraph"/>
        <w:numPr>
          <w:ilvl w:val="0"/>
          <w:numId w:val="3"/>
        </w:numPr>
        <w:rPr>
          <w:rFonts w:ascii="Times New Roman" w:hAnsi="Times New Roman" w:cs="Times New Roman"/>
          <w:sz w:val="24"/>
          <w:szCs w:val="24"/>
        </w:rPr>
      </w:pPr>
      <w:r w:rsidRPr="0000287E">
        <w:rPr>
          <w:rFonts w:ascii="Times New Roman" w:hAnsi="Times New Roman" w:cs="Times New Roman"/>
          <w:b/>
          <w:bCs/>
          <w:sz w:val="24"/>
          <w:szCs w:val="24"/>
        </w:rPr>
        <w:lastRenderedPageBreak/>
        <w:t>Porez na ugljik ili porez na CO</w:t>
      </w:r>
      <w:r w:rsidRPr="0000287E">
        <w:rPr>
          <w:rFonts w:ascii="Times New Roman" w:hAnsi="Times New Roman" w:cs="Times New Roman"/>
          <w:b/>
          <w:bCs/>
          <w:sz w:val="24"/>
          <w:szCs w:val="24"/>
          <w:vertAlign w:val="subscript"/>
        </w:rPr>
        <w:t xml:space="preserve">2 </w:t>
      </w:r>
      <w:r w:rsidRPr="0000287E">
        <w:rPr>
          <w:rFonts w:ascii="Times New Roman" w:hAnsi="Times New Roman" w:cs="Times New Roman"/>
          <w:sz w:val="24"/>
          <w:szCs w:val="24"/>
        </w:rPr>
        <w:t>– podrazumijeva uvođenje naknade za proizvodnju, distribuciju ili upotrebu fosilnih goriva poput nafte, ugljena i prirodnog plina. Iznos poreza ovisi o tome koliko ugljičnog dioksida svaka vrsta goriva emitira kada se koristi. Države u kojima se porez na CO</w:t>
      </w:r>
      <w:r w:rsidRPr="0000287E">
        <w:rPr>
          <w:rFonts w:ascii="Times New Roman" w:hAnsi="Times New Roman" w:cs="Times New Roman"/>
          <w:sz w:val="24"/>
          <w:szCs w:val="24"/>
          <w:vertAlign w:val="subscript"/>
        </w:rPr>
        <w:t>2</w:t>
      </w:r>
      <w:r w:rsidRPr="0000287E">
        <w:rPr>
          <w:rFonts w:ascii="Times New Roman" w:hAnsi="Times New Roman" w:cs="Times New Roman"/>
          <w:sz w:val="24"/>
          <w:szCs w:val="24"/>
        </w:rPr>
        <w:t xml:space="preserve"> već primjenjuje uglavnom su kao osnovicu za porez izabrale kilogram ili tonu emisije CO</w:t>
      </w:r>
      <w:r w:rsidRPr="0000287E">
        <w:rPr>
          <w:rFonts w:ascii="Times New Roman" w:hAnsi="Times New Roman" w:cs="Times New Roman"/>
          <w:sz w:val="24"/>
          <w:szCs w:val="24"/>
          <w:vertAlign w:val="subscript"/>
        </w:rPr>
        <w:t>2</w:t>
      </w:r>
      <w:r w:rsidRPr="0000287E">
        <w:rPr>
          <w:rFonts w:ascii="Times New Roman" w:hAnsi="Times New Roman" w:cs="Times New Roman"/>
          <w:sz w:val="24"/>
          <w:szCs w:val="24"/>
        </w:rPr>
        <w:t xml:space="preserve"> koja se osloba</w:t>
      </w:r>
      <w:r>
        <w:rPr>
          <w:rFonts w:ascii="Times New Roman" w:hAnsi="Times New Roman" w:cs="Times New Roman"/>
          <w:sz w:val="24"/>
          <w:szCs w:val="24"/>
        </w:rPr>
        <w:t>đ</w:t>
      </w:r>
      <w:r w:rsidRPr="0000287E">
        <w:rPr>
          <w:rFonts w:ascii="Times New Roman" w:hAnsi="Times New Roman" w:cs="Times New Roman"/>
          <w:sz w:val="24"/>
          <w:szCs w:val="24"/>
        </w:rPr>
        <w:t>a pri izgaranju jedinice goriva. Primjere primjene poreza na ugljik nalazimo u Skandinavskim zemljama, Nizozemskoj i Sloveniji.</w:t>
      </w:r>
    </w:p>
    <w:p w14:paraId="440B0229" w14:textId="77777777" w:rsidR="004F76A1" w:rsidRPr="0000287E" w:rsidRDefault="004F76A1" w:rsidP="004F76A1">
      <w:pPr>
        <w:pStyle w:val="ListParagraph"/>
        <w:numPr>
          <w:ilvl w:val="0"/>
          <w:numId w:val="3"/>
        </w:numPr>
        <w:rPr>
          <w:rFonts w:ascii="Times New Roman" w:hAnsi="Times New Roman" w:cs="Times New Roman"/>
          <w:sz w:val="24"/>
          <w:szCs w:val="24"/>
        </w:rPr>
      </w:pPr>
      <w:r w:rsidRPr="0000287E">
        <w:rPr>
          <w:rFonts w:ascii="Times New Roman" w:hAnsi="Times New Roman" w:cs="Times New Roman"/>
          <w:b/>
          <w:bCs/>
          <w:sz w:val="24"/>
          <w:szCs w:val="24"/>
        </w:rPr>
        <w:t>Porez na registraciju vozila</w:t>
      </w:r>
      <w:r w:rsidRPr="0000287E">
        <w:rPr>
          <w:rFonts w:ascii="Times New Roman" w:hAnsi="Times New Roman" w:cs="Times New Roman"/>
          <w:sz w:val="24"/>
          <w:szCs w:val="24"/>
        </w:rPr>
        <w:t xml:space="preserve"> – podrazumijeva naplatu dodatne naknade pri registraciji ovisno o vrsti pogona i razini emisije štetnih plinova. Ova mjera primjenjuje se u Irskoj.</w:t>
      </w:r>
    </w:p>
    <w:p w14:paraId="755EA852" w14:textId="77777777" w:rsidR="004F76A1" w:rsidRPr="0000287E" w:rsidRDefault="004F76A1" w:rsidP="004F76A1">
      <w:pPr>
        <w:pStyle w:val="ListParagraph"/>
        <w:numPr>
          <w:ilvl w:val="0"/>
          <w:numId w:val="3"/>
        </w:numPr>
        <w:rPr>
          <w:rFonts w:ascii="Times New Roman" w:hAnsi="Times New Roman" w:cs="Times New Roman"/>
          <w:sz w:val="24"/>
          <w:szCs w:val="24"/>
        </w:rPr>
      </w:pPr>
      <w:r w:rsidRPr="0000287E">
        <w:rPr>
          <w:rFonts w:ascii="Times New Roman" w:hAnsi="Times New Roman" w:cs="Times New Roman"/>
          <w:b/>
          <w:bCs/>
          <w:sz w:val="24"/>
          <w:szCs w:val="24"/>
        </w:rPr>
        <w:t xml:space="preserve">Uvođenje sustava </w:t>
      </w:r>
      <w:r w:rsidRPr="0000287E">
        <w:rPr>
          <w:rFonts w:ascii="Times New Roman" w:hAnsi="Times New Roman" w:cs="Times New Roman"/>
          <w:b/>
          <w:bCs/>
          <w:i/>
          <w:iCs/>
          <w:sz w:val="24"/>
          <w:szCs w:val="24"/>
        </w:rPr>
        <w:t>cap-and-trade</w:t>
      </w:r>
      <w:r w:rsidRPr="0000287E">
        <w:rPr>
          <w:rFonts w:ascii="Times New Roman" w:hAnsi="Times New Roman" w:cs="Times New Roman"/>
          <w:sz w:val="24"/>
          <w:szCs w:val="24"/>
        </w:rPr>
        <w:t xml:space="preserve"> – podrazumijeva definiranje gornje granice ukupnog zagađenja na nacionalnoj razini te utvrđivanje dopuštenih kvota za zagađenje koje proizvode pojedini poslovni subjekti. Svaki bi poslovni subjekt dobio dopuštenje koliko CO</w:t>
      </w:r>
      <w:r w:rsidRPr="0000287E">
        <w:rPr>
          <w:rFonts w:ascii="Times New Roman" w:hAnsi="Times New Roman" w:cs="Times New Roman"/>
          <w:sz w:val="24"/>
          <w:szCs w:val="24"/>
          <w:vertAlign w:val="subscript"/>
        </w:rPr>
        <w:t>2</w:t>
      </w:r>
      <w:r w:rsidRPr="0000287E">
        <w:rPr>
          <w:rFonts w:ascii="Times New Roman" w:hAnsi="Times New Roman" w:cs="Times New Roman"/>
          <w:sz w:val="24"/>
          <w:szCs w:val="24"/>
        </w:rPr>
        <w:t xml:space="preserve"> najviše može emitirati te bi se tim dopuštenjima moglo trgovati.</w:t>
      </w:r>
    </w:p>
    <w:p w14:paraId="4B6C524A" w14:textId="77777777" w:rsidR="004F76A1" w:rsidRPr="0000287E" w:rsidRDefault="004F76A1" w:rsidP="004F76A1">
      <w:pPr>
        <w:pStyle w:val="ListParagraph"/>
        <w:numPr>
          <w:ilvl w:val="0"/>
          <w:numId w:val="3"/>
        </w:numPr>
        <w:rPr>
          <w:rFonts w:ascii="Times New Roman" w:hAnsi="Times New Roman" w:cs="Times New Roman"/>
          <w:sz w:val="24"/>
          <w:szCs w:val="24"/>
        </w:rPr>
      </w:pPr>
      <w:r w:rsidRPr="0000287E">
        <w:rPr>
          <w:rFonts w:ascii="Times New Roman" w:hAnsi="Times New Roman" w:cs="Times New Roman"/>
          <w:b/>
          <w:bCs/>
          <w:sz w:val="24"/>
          <w:szCs w:val="24"/>
        </w:rPr>
        <w:t>Uvođenje zona niskih emisija štetnih plinova i naknada za prometovanje tim zonama</w:t>
      </w:r>
      <w:r w:rsidRPr="0000287E">
        <w:rPr>
          <w:rFonts w:ascii="Times New Roman" w:hAnsi="Times New Roman" w:cs="Times New Roman"/>
          <w:sz w:val="24"/>
          <w:szCs w:val="24"/>
        </w:rPr>
        <w:t xml:space="preserve"> – podrazumijeva definiranje zona (uglavnom u gradovima) za koje su određena ograničenja emisija štetnih plinova po vozilu. Ukoliko emisije štetnih plinova za vozilo prelaze definirano ograničenje, naplaćuje se naknada za prometovanje u toj zoni. Ova mjera primjenjuje se u Velikoj Britaniji.</w:t>
      </w:r>
    </w:p>
    <w:p w14:paraId="159DCE81" w14:textId="77777777" w:rsidR="004F76A1" w:rsidRPr="0000287E" w:rsidRDefault="004F76A1" w:rsidP="004F76A1">
      <w:pPr>
        <w:rPr>
          <w:rFonts w:cs="Times New Roman"/>
        </w:rPr>
      </w:pPr>
      <w:r w:rsidRPr="0000287E">
        <w:rPr>
          <w:rFonts w:cs="Times New Roman"/>
        </w:rPr>
        <w:t>Uvođenje mjera naplate eksternih troškova u sektoru prometa, odnosno propisivanja većih izdataka za one koji više zagađuju, vrlo je osjetljivo pitanje te se snažno preporučuje priprema komunikacijske strategije prema različitim skupinama korisnika prijevoza (građani, tvrtke koje koriste ili vrše uslugu prijevoza, industrije, udruženja poduzetnika i drugi) kako bi se osiguralo široko razumijevanje mjera koje se žele uvesti. Svim je interesnim skupinama također potrebno osigurati mogućnost da iskažu svoje mišljenje i daju doprinos formiranju mjera i javnih politika u području naplate eksternih troškova (primjerice kroz javna savjetovanja, ankete, istraživanja javnog mnijenja), a kako bi se osiguralo i široko prihvaćanje istih.</w:t>
      </w:r>
    </w:p>
    <w:p w14:paraId="6207FABC" w14:textId="77777777" w:rsidR="004F76A1" w:rsidRDefault="004F76A1" w:rsidP="004F76A1">
      <w:pPr>
        <w:rPr>
          <w:rFonts w:cs="Times New Roman"/>
        </w:rPr>
      </w:pPr>
      <w:r w:rsidRPr="0000287E">
        <w:rPr>
          <w:rFonts w:cs="Times New Roman"/>
        </w:rPr>
        <w:t>I u ovom području postoji prostor za uključivanje Republike Hrvatske u međunarodne projekte, primjerice kroz instrumente INTERREG i Obzor Europa, a uzimajući u obzir da i druge zemlje članice Europske Unije još uvijek rade na pronalasku adekvatnih rješenja.</w:t>
      </w:r>
    </w:p>
    <w:p w14:paraId="5BD497FD" w14:textId="7A10C0FB" w:rsidR="004F76A1" w:rsidRPr="004F76A1" w:rsidRDefault="004F76A1" w:rsidP="004F76A1">
      <w:pPr>
        <w:spacing w:line="259" w:lineRule="auto"/>
        <w:jc w:val="left"/>
        <w:rPr>
          <w:rFonts w:cs="Times New Roman"/>
        </w:rPr>
      </w:pPr>
    </w:p>
    <w:p w14:paraId="3FDA896C" w14:textId="77777777" w:rsidR="00DB4B46" w:rsidRDefault="00DB4B46"/>
    <w:sectPr w:rsidR="00DB4B46" w:rsidSect="00B231BF">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B956" w14:textId="77777777" w:rsidR="00456AC9" w:rsidRDefault="00456AC9" w:rsidP="004F76A1">
      <w:pPr>
        <w:spacing w:after="0" w:line="240" w:lineRule="auto"/>
      </w:pPr>
      <w:r>
        <w:separator/>
      </w:r>
    </w:p>
  </w:endnote>
  <w:endnote w:type="continuationSeparator" w:id="0">
    <w:p w14:paraId="58B47AA6" w14:textId="77777777" w:rsidR="00456AC9" w:rsidRDefault="00456AC9" w:rsidP="004F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itstream Vera Sans">
    <w:altName w:val="Trebuchet MS"/>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756E" w14:textId="77777777" w:rsidR="00B231BF" w:rsidRDefault="00B23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390124"/>
      <w:docPartObj>
        <w:docPartGallery w:val="Page Numbers (Bottom of Page)"/>
        <w:docPartUnique/>
      </w:docPartObj>
    </w:sdtPr>
    <w:sdtEndPr/>
    <w:sdtContent>
      <w:p w14:paraId="45FC6635" w14:textId="6D7C30E7" w:rsidR="00150344" w:rsidRDefault="00150344">
        <w:pPr>
          <w:pStyle w:val="Footer"/>
          <w:jc w:val="right"/>
        </w:pPr>
        <w:r>
          <w:fldChar w:fldCharType="begin"/>
        </w:r>
        <w:r>
          <w:instrText>PAGE   \* MERGEFORMAT</w:instrText>
        </w:r>
        <w:r>
          <w:fldChar w:fldCharType="separate"/>
        </w:r>
        <w:r>
          <w:t>2</w:t>
        </w:r>
        <w:r>
          <w:fldChar w:fldCharType="end"/>
        </w:r>
      </w:p>
    </w:sdtContent>
  </w:sdt>
  <w:p w14:paraId="1633AAB0" w14:textId="77777777" w:rsidR="004F76A1" w:rsidRDefault="004F7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BFB5" w14:textId="77777777" w:rsidR="00B231BF" w:rsidRDefault="00B231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970583"/>
      <w:docPartObj>
        <w:docPartGallery w:val="Page Numbers (Bottom of Page)"/>
        <w:docPartUnique/>
      </w:docPartObj>
    </w:sdtPr>
    <w:sdtEndPr/>
    <w:sdtContent>
      <w:p w14:paraId="3D3DE265" w14:textId="77777777" w:rsidR="005F33F2" w:rsidRDefault="006D0BC9">
        <w:pPr>
          <w:pStyle w:val="Footer"/>
          <w:jc w:val="right"/>
        </w:pPr>
        <w:r>
          <w:fldChar w:fldCharType="begin"/>
        </w:r>
        <w:r>
          <w:instrText>PAGE   \* MERGEFORMAT</w:instrText>
        </w:r>
        <w:r>
          <w:fldChar w:fldCharType="separate"/>
        </w:r>
        <w:r>
          <w:t>2</w:t>
        </w:r>
        <w:r>
          <w:fldChar w:fldCharType="end"/>
        </w:r>
      </w:p>
    </w:sdtContent>
  </w:sdt>
  <w:p w14:paraId="0A230F57" w14:textId="77777777" w:rsidR="005F33F2" w:rsidRDefault="00456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4BB6" w14:textId="77777777" w:rsidR="00456AC9" w:rsidRDefault="00456AC9" w:rsidP="004F76A1">
      <w:pPr>
        <w:spacing w:after="0" w:line="240" w:lineRule="auto"/>
      </w:pPr>
      <w:r>
        <w:separator/>
      </w:r>
    </w:p>
  </w:footnote>
  <w:footnote w:type="continuationSeparator" w:id="0">
    <w:p w14:paraId="3A4B08EA" w14:textId="77777777" w:rsidR="00456AC9" w:rsidRDefault="00456AC9" w:rsidP="004F76A1">
      <w:pPr>
        <w:spacing w:after="0" w:line="240" w:lineRule="auto"/>
      </w:pPr>
      <w:r>
        <w:continuationSeparator/>
      </w:r>
    </w:p>
  </w:footnote>
  <w:footnote w:id="1">
    <w:p w14:paraId="527A6436" w14:textId="77777777" w:rsidR="004F76A1" w:rsidRDefault="004F76A1" w:rsidP="004F76A1">
      <w:pPr>
        <w:pStyle w:val="FootnoteText"/>
      </w:pPr>
      <w:r>
        <w:rPr>
          <w:rStyle w:val="FootnoteReference"/>
        </w:rPr>
        <w:footnoteRef/>
      </w:r>
      <w:r>
        <w:t xml:space="preserve">  </w:t>
      </w:r>
      <w:r w:rsidRPr="00ED43FA">
        <w:rPr>
          <w:rFonts w:ascii="Times New Roman" w:hAnsi="Times New Roman" w:cs="Times New Roman"/>
        </w:rPr>
        <w:t>Uključuje emisije uslijed eksploatacije i transporta sirovine (sirova nafta ili prirodni plin).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9481" w14:textId="77777777" w:rsidR="00B231BF" w:rsidRDefault="00B23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CBD2" w14:textId="77777777" w:rsidR="00B231BF" w:rsidRDefault="00B23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D61D" w14:textId="77777777" w:rsidR="00B231BF" w:rsidRDefault="00B231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A21D" w14:textId="77777777" w:rsidR="001A4AF3" w:rsidRDefault="00456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C82A0FA"/>
    <w:lvl w:ilvl="0">
      <w:numFmt w:val="bullet"/>
      <w:pStyle w:val="Bul1"/>
      <w:lvlText w:val="*"/>
      <w:lvlJc w:val="left"/>
    </w:lvl>
  </w:abstractNum>
  <w:abstractNum w:abstractNumId="1" w15:restartNumberingAfterBreak="0">
    <w:nsid w:val="010C65DE"/>
    <w:multiLevelType w:val="multilevel"/>
    <w:tmpl w:val="39D4D2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B503E34"/>
    <w:multiLevelType w:val="hybridMultilevel"/>
    <w:tmpl w:val="FB72D544"/>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DD8598C"/>
    <w:multiLevelType w:val="hybridMultilevel"/>
    <w:tmpl w:val="1D50CC4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0DF4716B"/>
    <w:multiLevelType w:val="hybridMultilevel"/>
    <w:tmpl w:val="C74054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720569"/>
    <w:multiLevelType w:val="hybridMultilevel"/>
    <w:tmpl w:val="6C94CF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0D2779"/>
    <w:multiLevelType w:val="hybridMultilevel"/>
    <w:tmpl w:val="240C61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58F61A5"/>
    <w:multiLevelType w:val="hybridMultilevel"/>
    <w:tmpl w:val="49EEB050"/>
    <w:lvl w:ilvl="0" w:tplc="6E16B99E">
      <w:start w:val="1"/>
      <w:numFmt w:val="bullet"/>
      <w:lvlText w:val=""/>
      <w:lvlJc w:val="left"/>
      <w:pPr>
        <w:ind w:left="720" w:hanging="360"/>
      </w:pPr>
      <w:rPr>
        <w:rFonts w:ascii="Symbol" w:hAnsi="Symbol" w:cs="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35DD2CDF"/>
    <w:multiLevelType w:val="hybridMultilevel"/>
    <w:tmpl w:val="67129B8A"/>
    <w:lvl w:ilvl="0" w:tplc="041A0001">
      <w:start w:val="1"/>
      <w:numFmt w:val="bullet"/>
      <w:lvlText w:val=""/>
      <w:lvlJc w:val="left"/>
      <w:pPr>
        <w:ind w:left="720" w:hanging="360"/>
      </w:pPr>
      <w:rPr>
        <w:rFonts w:ascii="Symbol" w:hAnsi="Symbol" w:hint="default"/>
      </w:rPr>
    </w:lvl>
    <w:lvl w:ilvl="1" w:tplc="8BCA49F2">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8B35D13"/>
    <w:multiLevelType w:val="hybridMultilevel"/>
    <w:tmpl w:val="D74E5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E50F58"/>
    <w:multiLevelType w:val="hybridMultilevel"/>
    <w:tmpl w:val="87B0160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D215618"/>
    <w:multiLevelType w:val="hybridMultilevel"/>
    <w:tmpl w:val="423205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41941F3F"/>
    <w:multiLevelType w:val="hybridMultilevel"/>
    <w:tmpl w:val="EA4CE37A"/>
    <w:styleLink w:val="Lettered"/>
    <w:lvl w:ilvl="0" w:tplc="46E8C182">
      <w:start w:val="1"/>
      <w:numFmt w:val="lowerLetter"/>
      <w:lvlText w:val="%1)"/>
      <w:lvlJc w:val="left"/>
      <w:pPr>
        <w:ind w:left="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48507E">
      <w:start w:val="1"/>
      <w:numFmt w:val="lowerLetter"/>
      <w:lvlText w:val="%2)"/>
      <w:lvlJc w:val="left"/>
      <w:pPr>
        <w:ind w:left="1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0EA6DC">
      <w:start w:val="1"/>
      <w:numFmt w:val="lowerLetter"/>
      <w:lvlText w:val="%3)"/>
      <w:lvlJc w:val="left"/>
      <w:pPr>
        <w:ind w:left="2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DCC87A">
      <w:start w:val="1"/>
      <w:numFmt w:val="lowerLetter"/>
      <w:lvlText w:val="%4)"/>
      <w:lvlJc w:val="left"/>
      <w:pPr>
        <w:ind w:left="3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0AEB22">
      <w:start w:val="1"/>
      <w:numFmt w:val="lowerLetter"/>
      <w:lvlText w:val="%5)"/>
      <w:lvlJc w:val="left"/>
      <w:pPr>
        <w:ind w:left="4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4EDF8C">
      <w:start w:val="1"/>
      <w:numFmt w:val="lowerLetter"/>
      <w:lvlText w:val="%6)"/>
      <w:lvlJc w:val="left"/>
      <w:pPr>
        <w:ind w:left="5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389282">
      <w:start w:val="1"/>
      <w:numFmt w:val="lowerLetter"/>
      <w:lvlText w:val="%7)"/>
      <w:lvlJc w:val="left"/>
      <w:pPr>
        <w:ind w:left="6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68F510">
      <w:start w:val="1"/>
      <w:numFmt w:val="lowerLetter"/>
      <w:lvlText w:val="%8)"/>
      <w:lvlJc w:val="left"/>
      <w:pPr>
        <w:ind w:left="7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CCCAFA">
      <w:start w:val="1"/>
      <w:numFmt w:val="lowerLetter"/>
      <w:lvlText w:val="%9)"/>
      <w:lvlJc w:val="left"/>
      <w:pPr>
        <w:ind w:left="8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C6B5F33"/>
    <w:multiLevelType w:val="hybridMultilevel"/>
    <w:tmpl w:val="E4EAA45C"/>
    <w:lvl w:ilvl="0" w:tplc="041A0001">
      <w:start w:val="1"/>
      <w:numFmt w:val="bullet"/>
      <w:lvlText w:val=""/>
      <w:lvlJc w:val="left"/>
      <w:pPr>
        <w:ind w:left="820" w:hanging="360"/>
      </w:pPr>
      <w:rPr>
        <w:rFonts w:ascii="Symbol" w:hAnsi="Symbol" w:hint="default"/>
      </w:rPr>
    </w:lvl>
    <w:lvl w:ilvl="1" w:tplc="041A0003" w:tentative="1">
      <w:start w:val="1"/>
      <w:numFmt w:val="bullet"/>
      <w:lvlText w:val="o"/>
      <w:lvlJc w:val="left"/>
      <w:pPr>
        <w:ind w:left="1540" w:hanging="360"/>
      </w:pPr>
      <w:rPr>
        <w:rFonts w:ascii="Courier New" w:hAnsi="Courier New" w:cs="Courier New" w:hint="default"/>
      </w:rPr>
    </w:lvl>
    <w:lvl w:ilvl="2" w:tplc="041A0005" w:tentative="1">
      <w:start w:val="1"/>
      <w:numFmt w:val="bullet"/>
      <w:lvlText w:val=""/>
      <w:lvlJc w:val="left"/>
      <w:pPr>
        <w:ind w:left="2260" w:hanging="360"/>
      </w:pPr>
      <w:rPr>
        <w:rFonts w:ascii="Wingdings" w:hAnsi="Wingdings" w:hint="default"/>
      </w:rPr>
    </w:lvl>
    <w:lvl w:ilvl="3" w:tplc="041A0001" w:tentative="1">
      <w:start w:val="1"/>
      <w:numFmt w:val="bullet"/>
      <w:lvlText w:val=""/>
      <w:lvlJc w:val="left"/>
      <w:pPr>
        <w:ind w:left="2980" w:hanging="360"/>
      </w:pPr>
      <w:rPr>
        <w:rFonts w:ascii="Symbol" w:hAnsi="Symbol" w:hint="default"/>
      </w:rPr>
    </w:lvl>
    <w:lvl w:ilvl="4" w:tplc="041A0003" w:tentative="1">
      <w:start w:val="1"/>
      <w:numFmt w:val="bullet"/>
      <w:lvlText w:val="o"/>
      <w:lvlJc w:val="left"/>
      <w:pPr>
        <w:ind w:left="3700" w:hanging="360"/>
      </w:pPr>
      <w:rPr>
        <w:rFonts w:ascii="Courier New" w:hAnsi="Courier New" w:cs="Courier New" w:hint="default"/>
      </w:rPr>
    </w:lvl>
    <w:lvl w:ilvl="5" w:tplc="041A0005" w:tentative="1">
      <w:start w:val="1"/>
      <w:numFmt w:val="bullet"/>
      <w:lvlText w:val=""/>
      <w:lvlJc w:val="left"/>
      <w:pPr>
        <w:ind w:left="4420" w:hanging="360"/>
      </w:pPr>
      <w:rPr>
        <w:rFonts w:ascii="Wingdings" w:hAnsi="Wingdings" w:hint="default"/>
      </w:rPr>
    </w:lvl>
    <w:lvl w:ilvl="6" w:tplc="041A0001" w:tentative="1">
      <w:start w:val="1"/>
      <w:numFmt w:val="bullet"/>
      <w:lvlText w:val=""/>
      <w:lvlJc w:val="left"/>
      <w:pPr>
        <w:ind w:left="5140" w:hanging="360"/>
      </w:pPr>
      <w:rPr>
        <w:rFonts w:ascii="Symbol" w:hAnsi="Symbol" w:hint="default"/>
      </w:rPr>
    </w:lvl>
    <w:lvl w:ilvl="7" w:tplc="041A0003" w:tentative="1">
      <w:start w:val="1"/>
      <w:numFmt w:val="bullet"/>
      <w:lvlText w:val="o"/>
      <w:lvlJc w:val="left"/>
      <w:pPr>
        <w:ind w:left="5860" w:hanging="360"/>
      </w:pPr>
      <w:rPr>
        <w:rFonts w:ascii="Courier New" w:hAnsi="Courier New" w:cs="Courier New" w:hint="default"/>
      </w:rPr>
    </w:lvl>
    <w:lvl w:ilvl="8" w:tplc="041A0005" w:tentative="1">
      <w:start w:val="1"/>
      <w:numFmt w:val="bullet"/>
      <w:lvlText w:val=""/>
      <w:lvlJc w:val="left"/>
      <w:pPr>
        <w:ind w:left="6580" w:hanging="360"/>
      </w:pPr>
      <w:rPr>
        <w:rFonts w:ascii="Wingdings" w:hAnsi="Wingdings" w:hint="default"/>
      </w:rPr>
    </w:lvl>
  </w:abstractNum>
  <w:abstractNum w:abstractNumId="14" w15:restartNumberingAfterBreak="0">
    <w:nsid w:val="62517F3D"/>
    <w:multiLevelType w:val="hybridMultilevel"/>
    <w:tmpl w:val="1EF4C5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E51412"/>
    <w:multiLevelType w:val="hybridMultilevel"/>
    <w:tmpl w:val="442A727A"/>
    <w:lvl w:ilvl="0" w:tplc="041A0001">
      <w:start w:val="1"/>
      <w:numFmt w:val="bullet"/>
      <w:pStyle w:val="TOCHeading"/>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E49316B"/>
    <w:multiLevelType w:val="hybridMultilevel"/>
    <w:tmpl w:val="55DC6508"/>
    <w:lvl w:ilvl="0" w:tplc="87B8FE8E">
      <w:numFmt w:val="bullet"/>
      <w:lvlText w:val="•"/>
      <w:lvlJc w:val="left"/>
      <w:pPr>
        <w:ind w:left="1070" w:hanging="71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06F12C7"/>
    <w:multiLevelType w:val="hybridMultilevel"/>
    <w:tmpl w:val="63AE7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6BE3489"/>
    <w:multiLevelType w:val="hybridMultilevel"/>
    <w:tmpl w:val="2A3203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7D142CA1"/>
    <w:multiLevelType w:val="hybridMultilevel"/>
    <w:tmpl w:val="9F2863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7DAE4454"/>
    <w:multiLevelType w:val="hybridMultilevel"/>
    <w:tmpl w:val="FCE6949C"/>
    <w:styleLink w:val="ImportedStyle1"/>
    <w:lvl w:ilvl="0" w:tplc="A5B0FB4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5CBC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A08F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246CB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8F2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A095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F6F4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D239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70E8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3"/>
  </w:num>
  <w:num w:numId="3">
    <w:abstractNumId w:val="9"/>
  </w:num>
  <w:num w:numId="4">
    <w:abstractNumId w:val="3"/>
  </w:num>
  <w:num w:numId="5">
    <w:abstractNumId w:val="6"/>
  </w:num>
  <w:num w:numId="6">
    <w:abstractNumId w:val="4"/>
  </w:num>
  <w:num w:numId="7">
    <w:abstractNumId w:val="0"/>
    <w:lvlOverride w:ilvl="0">
      <w:lvl w:ilvl="0">
        <w:start w:val="1"/>
        <w:numFmt w:val="bullet"/>
        <w:pStyle w:val="Bul1"/>
        <w:lvlText w:val="o"/>
        <w:lvlJc w:val="left"/>
        <w:pPr>
          <w:tabs>
            <w:tab w:val="num" w:pos="567"/>
          </w:tabs>
          <w:ind w:left="1418" w:hanging="567"/>
        </w:pPr>
        <w:rPr>
          <w:rFonts w:ascii="Courier New" w:hAnsi="Courier New" w:hint="default"/>
        </w:rPr>
      </w:lvl>
    </w:lvlOverride>
  </w:num>
  <w:num w:numId="8">
    <w:abstractNumId w:val="12"/>
  </w:num>
  <w:num w:numId="9">
    <w:abstractNumId w:val="20"/>
  </w:num>
  <w:num w:numId="10">
    <w:abstractNumId w:val="2"/>
  </w:num>
  <w:num w:numId="11">
    <w:abstractNumId w:val="5"/>
  </w:num>
  <w:num w:numId="12">
    <w:abstractNumId w:val="11"/>
  </w:num>
  <w:num w:numId="13">
    <w:abstractNumId w:val="18"/>
  </w:num>
  <w:num w:numId="14">
    <w:abstractNumId w:val="19"/>
  </w:num>
  <w:num w:numId="15">
    <w:abstractNumId w:val="10"/>
  </w:num>
  <w:num w:numId="16">
    <w:abstractNumId w:val="7"/>
  </w:num>
  <w:num w:numId="17">
    <w:abstractNumId w:val="14"/>
  </w:num>
  <w:num w:numId="18">
    <w:abstractNumId w:val="16"/>
  </w:num>
  <w:num w:numId="19">
    <w:abstractNumId w:val="8"/>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A1"/>
    <w:rsid w:val="0013050C"/>
    <w:rsid w:val="00150344"/>
    <w:rsid w:val="001A0638"/>
    <w:rsid w:val="002816D1"/>
    <w:rsid w:val="00326D65"/>
    <w:rsid w:val="00433E25"/>
    <w:rsid w:val="00456AC9"/>
    <w:rsid w:val="004814B6"/>
    <w:rsid w:val="0049021D"/>
    <w:rsid w:val="004F76A1"/>
    <w:rsid w:val="00607A3D"/>
    <w:rsid w:val="006237C6"/>
    <w:rsid w:val="00637059"/>
    <w:rsid w:val="006D0BC9"/>
    <w:rsid w:val="009342F9"/>
    <w:rsid w:val="0095653D"/>
    <w:rsid w:val="009C469B"/>
    <w:rsid w:val="00A13FD6"/>
    <w:rsid w:val="00A933E3"/>
    <w:rsid w:val="00AF149F"/>
    <w:rsid w:val="00B075BD"/>
    <w:rsid w:val="00B20D89"/>
    <w:rsid w:val="00B231BF"/>
    <w:rsid w:val="00BF3292"/>
    <w:rsid w:val="00CE515A"/>
    <w:rsid w:val="00D5395B"/>
    <w:rsid w:val="00D97C99"/>
    <w:rsid w:val="00DB4B46"/>
    <w:rsid w:val="00DD3AB2"/>
    <w:rsid w:val="00E76832"/>
    <w:rsid w:val="00F15B2E"/>
    <w:rsid w:val="00F242F5"/>
    <w:rsid w:val="00F739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54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6A1"/>
    <w:pPr>
      <w:spacing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4F76A1"/>
    <w:pPr>
      <w:keepNext/>
      <w:keepLines/>
      <w:pageBreakBefore/>
      <w:numPr>
        <w:numId w:val="1"/>
      </w:numPr>
      <w:spacing w:before="120" w:after="120" w:line="240" w:lineRule="auto"/>
      <w:ind w:left="431" w:hanging="431"/>
      <w:outlineLvl w:val="0"/>
    </w:pPr>
    <w:rPr>
      <w:rFonts w:eastAsiaTheme="majorEastAsia" w:cstheme="majorBidi"/>
      <w:b/>
      <w:bCs/>
      <w:sz w:val="36"/>
      <w:szCs w:val="28"/>
    </w:rPr>
  </w:style>
  <w:style w:type="paragraph" w:styleId="Heading2">
    <w:name w:val="heading 2"/>
    <w:basedOn w:val="Heading1"/>
    <w:next w:val="Normal"/>
    <w:link w:val="Heading2Char"/>
    <w:uiPriority w:val="9"/>
    <w:unhideWhenUsed/>
    <w:qFormat/>
    <w:rsid w:val="004F76A1"/>
    <w:pPr>
      <w:pageBreakBefore w:val="0"/>
      <w:numPr>
        <w:ilvl w:val="1"/>
      </w:numPr>
      <w:spacing w:before="240"/>
      <w:outlineLvl w:val="1"/>
    </w:pPr>
    <w:rPr>
      <w:sz w:val="28"/>
    </w:rPr>
  </w:style>
  <w:style w:type="paragraph" w:styleId="Heading3">
    <w:name w:val="heading 3"/>
    <w:basedOn w:val="Heading2"/>
    <w:next w:val="Normal"/>
    <w:link w:val="Heading3Char"/>
    <w:uiPriority w:val="9"/>
    <w:unhideWhenUsed/>
    <w:qFormat/>
    <w:rsid w:val="004F76A1"/>
    <w:pPr>
      <w:numPr>
        <w:ilvl w:val="2"/>
      </w:numPr>
      <w:spacing w:before="360" w:after="240"/>
      <w:outlineLvl w:val="2"/>
    </w:pPr>
    <w:rPr>
      <w:sz w:val="24"/>
    </w:rPr>
  </w:style>
  <w:style w:type="paragraph" w:styleId="Heading4">
    <w:name w:val="heading 4"/>
    <w:basedOn w:val="Heading3"/>
    <w:next w:val="Normal"/>
    <w:link w:val="Heading4Char"/>
    <w:autoRedefine/>
    <w:uiPriority w:val="9"/>
    <w:unhideWhenUsed/>
    <w:qFormat/>
    <w:rsid w:val="004F76A1"/>
    <w:pPr>
      <w:numPr>
        <w:ilvl w:val="3"/>
      </w:numPr>
      <w:outlineLvl w:val="3"/>
    </w:pPr>
    <w:rPr>
      <w:sz w:val="22"/>
    </w:rPr>
  </w:style>
  <w:style w:type="paragraph" w:styleId="Heading5">
    <w:name w:val="heading 5"/>
    <w:basedOn w:val="Normal"/>
    <w:next w:val="Normal"/>
    <w:link w:val="Heading5Char"/>
    <w:uiPriority w:val="9"/>
    <w:unhideWhenUsed/>
    <w:qFormat/>
    <w:rsid w:val="004F76A1"/>
    <w:pPr>
      <w:keepNext/>
      <w:keepLines/>
      <w:numPr>
        <w:ilvl w:val="4"/>
        <w:numId w:val="1"/>
      </w:numPr>
      <w:spacing w:before="200" w:after="0" w:line="360" w:lineRule="auto"/>
      <w:outlineLvl w:val="4"/>
    </w:pPr>
    <w:rPr>
      <w:rFonts w:asciiTheme="majorHAnsi" w:eastAsiaTheme="majorEastAsia" w:hAnsiTheme="majorHAnsi" w:cstheme="majorBidi"/>
      <w:b/>
      <w:color w:val="1F3763" w:themeColor="accent1" w:themeShade="7F"/>
    </w:rPr>
  </w:style>
  <w:style w:type="paragraph" w:styleId="Heading6">
    <w:name w:val="heading 6"/>
    <w:basedOn w:val="Normal"/>
    <w:next w:val="Normal"/>
    <w:link w:val="Heading6Char"/>
    <w:uiPriority w:val="9"/>
    <w:semiHidden/>
    <w:unhideWhenUsed/>
    <w:qFormat/>
    <w:rsid w:val="004F76A1"/>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F76A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F76A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F76A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6A1"/>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4F76A1"/>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rsid w:val="004F76A1"/>
    <w:rPr>
      <w:rFonts w:ascii="Times New Roman" w:eastAsiaTheme="majorEastAsia" w:hAnsi="Times New Roman" w:cstheme="majorBidi"/>
      <w:b/>
      <w:bCs/>
      <w:sz w:val="24"/>
      <w:szCs w:val="28"/>
    </w:rPr>
  </w:style>
  <w:style w:type="character" w:customStyle="1" w:styleId="Heading4Char">
    <w:name w:val="Heading 4 Char"/>
    <w:basedOn w:val="DefaultParagraphFont"/>
    <w:link w:val="Heading4"/>
    <w:uiPriority w:val="9"/>
    <w:rsid w:val="004F76A1"/>
    <w:rPr>
      <w:rFonts w:ascii="Times New Roman" w:eastAsiaTheme="majorEastAsia" w:hAnsi="Times New Roman" w:cstheme="majorBidi"/>
      <w:b/>
      <w:bCs/>
      <w:szCs w:val="28"/>
    </w:rPr>
  </w:style>
  <w:style w:type="character" w:customStyle="1" w:styleId="Heading5Char">
    <w:name w:val="Heading 5 Char"/>
    <w:basedOn w:val="DefaultParagraphFont"/>
    <w:link w:val="Heading5"/>
    <w:uiPriority w:val="9"/>
    <w:rsid w:val="004F76A1"/>
    <w:rPr>
      <w:rFonts w:asciiTheme="majorHAnsi" w:eastAsiaTheme="majorEastAsia" w:hAnsiTheme="majorHAnsi" w:cstheme="majorBidi"/>
      <w:b/>
      <w:color w:val="1F3763" w:themeColor="accent1" w:themeShade="7F"/>
      <w:sz w:val="24"/>
    </w:rPr>
  </w:style>
  <w:style w:type="character" w:customStyle="1" w:styleId="Heading6Char">
    <w:name w:val="Heading 6 Char"/>
    <w:basedOn w:val="DefaultParagraphFont"/>
    <w:link w:val="Heading6"/>
    <w:uiPriority w:val="9"/>
    <w:semiHidden/>
    <w:rsid w:val="004F76A1"/>
    <w:rPr>
      <w:rFonts w:asciiTheme="majorHAnsi" w:eastAsiaTheme="majorEastAsia" w:hAnsiTheme="majorHAnsi" w:cstheme="majorBidi"/>
      <w:i/>
      <w:iCs/>
      <w:color w:val="1F3763" w:themeColor="accent1" w:themeShade="7F"/>
      <w:sz w:val="24"/>
    </w:rPr>
  </w:style>
  <w:style w:type="character" w:customStyle="1" w:styleId="Heading7Char">
    <w:name w:val="Heading 7 Char"/>
    <w:basedOn w:val="DefaultParagraphFont"/>
    <w:link w:val="Heading7"/>
    <w:uiPriority w:val="9"/>
    <w:semiHidden/>
    <w:rsid w:val="004F76A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4F76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F76A1"/>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4F76A1"/>
    <w:rPr>
      <w:sz w:val="16"/>
      <w:szCs w:val="16"/>
    </w:rPr>
  </w:style>
  <w:style w:type="paragraph" w:styleId="CommentText">
    <w:name w:val="annotation text"/>
    <w:basedOn w:val="Normal"/>
    <w:link w:val="CommentTextChar"/>
    <w:uiPriority w:val="99"/>
    <w:unhideWhenUsed/>
    <w:rsid w:val="004F76A1"/>
    <w:pPr>
      <w:spacing w:line="240" w:lineRule="auto"/>
    </w:pPr>
    <w:rPr>
      <w:sz w:val="20"/>
      <w:szCs w:val="20"/>
    </w:rPr>
  </w:style>
  <w:style w:type="character" w:customStyle="1" w:styleId="CommentTextChar">
    <w:name w:val="Comment Text Char"/>
    <w:basedOn w:val="DefaultParagraphFont"/>
    <w:link w:val="CommentText"/>
    <w:uiPriority w:val="99"/>
    <w:rsid w:val="004F76A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76A1"/>
    <w:rPr>
      <w:b/>
      <w:bCs/>
    </w:rPr>
  </w:style>
  <w:style w:type="character" w:customStyle="1" w:styleId="CommentSubjectChar">
    <w:name w:val="Comment Subject Char"/>
    <w:basedOn w:val="CommentTextChar"/>
    <w:link w:val="CommentSubject"/>
    <w:uiPriority w:val="99"/>
    <w:semiHidden/>
    <w:rsid w:val="004F76A1"/>
    <w:rPr>
      <w:rFonts w:ascii="Times New Roman" w:hAnsi="Times New Roman"/>
      <w:b/>
      <w:bCs/>
      <w:sz w:val="20"/>
      <w:szCs w:val="20"/>
    </w:rPr>
  </w:style>
  <w:style w:type="table" w:styleId="TableGrid">
    <w:name w:val="Table Grid"/>
    <w:basedOn w:val="TableNormal"/>
    <w:uiPriority w:val="39"/>
    <w:rsid w:val="004F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uiPriority w:val="34"/>
    <w:qFormat/>
    <w:rsid w:val="004F76A1"/>
    <w:pPr>
      <w:spacing w:after="200"/>
      <w:ind w:left="720"/>
      <w:contextualSpacing/>
    </w:pPr>
    <w:rPr>
      <w:rFonts w:asciiTheme="minorHAnsi" w:hAnsiTheme="minorHAnsi"/>
      <w:sz w:val="22"/>
    </w:rPr>
  </w:style>
  <w:style w:type="paragraph" w:styleId="Caption">
    <w:name w:val="caption"/>
    <w:basedOn w:val="Normal"/>
    <w:next w:val="Normal"/>
    <w:uiPriority w:val="35"/>
    <w:unhideWhenUsed/>
    <w:qFormat/>
    <w:rsid w:val="004F76A1"/>
    <w:pPr>
      <w:spacing w:after="200" w:line="240" w:lineRule="auto"/>
    </w:pPr>
    <w:rPr>
      <w:rFonts w:asciiTheme="minorHAnsi" w:hAnsiTheme="minorHAnsi"/>
      <w:b/>
      <w:bCs/>
      <w:sz w:val="20"/>
      <w:szCs w:val="18"/>
    </w:rPr>
  </w:style>
  <w:style w:type="paragraph" w:styleId="FootnoteText">
    <w:name w:val="footnote text"/>
    <w:basedOn w:val="Normal"/>
    <w:link w:val="FootnoteTextChar"/>
    <w:uiPriority w:val="99"/>
    <w:semiHidden/>
    <w:unhideWhenUsed/>
    <w:rsid w:val="004F76A1"/>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F76A1"/>
    <w:rPr>
      <w:sz w:val="20"/>
      <w:szCs w:val="20"/>
    </w:rPr>
  </w:style>
  <w:style w:type="character" w:styleId="FootnoteReference">
    <w:name w:val="footnote reference"/>
    <w:basedOn w:val="DefaultParagraphFont"/>
    <w:uiPriority w:val="99"/>
    <w:semiHidden/>
    <w:unhideWhenUsed/>
    <w:rsid w:val="004F76A1"/>
    <w:rPr>
      <w:vertAlign w:val="superscript"/>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locked/>
    <w:rsid w:val="004F76A1"/>
  </w:style>
  <w:style w:type="paragraph" w:styleId="Title">
    <w:name w:val="Title"/>
    <w:basedOn w:val="Normal"/>
    <w:next w:val="Normal"/>
    <w:link w:val="TitleChar"/>
    <w:uiPriority w:val="10"/>
    <w:qFormat/>
    <w:rsid w:val="004F76A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hr-HR"/>
    </w:rPr>
  </w:style>
  <w:style w:type="character" w:customStyle="1" w:styleId="TitleChar">
    <w:name w:val="Title Char"/>
    <w:basedOn w:val="DefaultParagraphFont"/>
    <w:link w:val="Title"/>
    <w:uiPriority w:val="10"/>
    <w:rsid w:val="004F76A1"/>
    <w:rPr>
      <w:rFonts w:asciiTheme="majorHAnsi" w:eastAsiaTheme="majorEastAsia" w:hAnsiTheme="majorHAnsi" w:cstheme="majorBidi"/>
      <w:color w:val="323E4F" w:themeColor="text2" w:themeShade="BF"/>
      <w:spacing w:val="5"/>
      <w:kern w:val="28"/>
      <w:sz w:val="52"/>
      <w:szCs w:val="52"/>
      <w:lang w:eastAsia="hr-HR"/>
    </w:rPr>
  </w:style>
  <w:style w:type="paragraph" w:styleId="Subtitle">
    <w:name w:val="Subtitle"/>
    <w:basedOn w:val="Normal"/>
    <w:next w:val="Normal"/>
    <w:link w:val="SubtitleChar"/>
    <w:uiPriority w:val="11"/>
    <w:qFormat/>
    <w:rsid w:val="004F76A1"/>
    <w:pPr>
      <w:numPr>
        <w:ilvl w:val="1"/>
      </w:numPr>
      <w:spacing w:after="200"/>
    </w:pPr>
    <w:rPr>
      <w:rFonts w:asciiTheme="majorHAnsi" w:eastAsiaTheme="majorEastAsia" w:hAnsiTheme="majorHAnsi" w:cstheme="majorBidi"/>
      <w:i/>
      <w:iCs/>
      <w:color w:val="4472C4" w:themeColor="accent1"/>
      <w:spacing w:val="15"/>
      <w:szCs w:val="24"/>
      <w:lang w:eastAsia="hr-HR"/>
    </w:rPr>
  </w:style>
  <w:style w:type="character" w:customStyle="1" w:styleId="SubtitleChar">
    <w:name w:val="Subtitle Char"/>
    <w:basedOn w:val="DefaultParagraphFont"/>
    <w:link w:val="Subtitle"/>
    <w:uiPriority w:val="11"/>
    <w:rsid w:val="004F76A1"/>
    <w:rPr>
      <w:rFonts w:asciiTheme="majorHAnsi" w:eastAsiaTheme="majorEastAsia" w:hAnsiTheme="majorHAnsi" w:cstheme="majorBidi"/>
      <w:i/>
      <w:iCs/>
      <w:color w:val="4472C4" w:themeColor="accent1"/>
      <w:spacing w:val="15"/>
      <w:sz w:val="24"/>
      <w:szCs w:val="24"/>
      <w:lang w:eastAsia="hr-HR"/>
    </w:rPr>
  </w:style>
  <w:style w:type="paragraph" w:styleId="BalloonText">
    <w:name w:val="Balloon Text"/>
    <w:basedOn w:val="Normal"/>
    <w:link w:val="BalloonTextChar"/>
    <w:uiPriority w:val="99"/>
    <w:semiHidden/>
    <w:unhideWhenUsed/>
    <w:rsid w:val="004F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6A1"/>
    <w:rPr>
      <w:rFonts w:ascii="Tahoma" w:hAnsi="Tahoma" w:cs="Tahoma"/>
      <w:sz w:val="16"/>
      <w:szCs w:val="16"/>
    </w:rPr>
  </w:style>
  <w:style w:type="paragraph" w:styleId="TOCHeading">
    <w:name w:val="TOC Heading"/>
    <w:basedOn w:val="Heading1"/>
    <w:next w:val="Normal"/>
    <w:uiPriority w:val="39"/>
    <w:unhideWhenUsed/>
    <w:qFormat/>
    <w:rsid w:val="004F76A1"/>
    <w:pPr>
      <w:numPr>
        <w:numId w:val="20"/>
      </w:numPr>
      <w:spacing w:after="0"/>
      <w:outlineLvl w:val="9"/>
    </w:pPr>
    <w:rPr>
      <w:rFonts w:asciiTheme="majorHAnsi" w:hAnsiTheme="majorHAnsi"/>
      <w:lang w:eastAsia="hr-HR"/>
    </w:rPr>
  </w:style>
  <w:style w:type="paragraph" w:styleId="Header">
    <w:name w:val="header"/>
    <w:basedOn w:val="Normal"/>
    <w:link w:val="HeaderChar"/>
    <w:unhideWhenUsed/>
    <w:rsid w:val="004F76A1"/>
    <w:pPr>
      <w:tabs>
        <w:tab w:val="center" w:pos="4536"/>
        <w:tab w:val="right" w:pos="9072"/>
      </w:tabs>
      <w:spacing w:after="0" w:line="240" w:lineRule="auto"/>
    </w:pPr>
    <w:rPr>
      <w:rFonts w:asciiTheme="minorHAnsi" w:hAnsiTheme="minorHAnsi"/>
      <w:sz w:val="22"/>
    </w:rPr>
  </w:style>
  <w:style w:type="character" w:customStyle="1" w:styleId="HeaderChar">
    <w:name w:val="Header Char"/>
    <w:basedOn w:val="DefaultParagraphFont"/>
    <w:link w:val="Header"/>
    <w:rsid w:val="004F76A1"/>
  </w:style>
  <w:style w:type="paragraph" w:styleId="Footer">
    <w:name w:val="footer"/>
    <w:basedOn w:val="Normal"/>
    <w:link w:val="FooterChar"/>
    <w:uiPriority w:val="99"/>
    <w:unhideWhenUsed/>
    <w:rsid w:val="004F76A1"/>
    <w:pPr>
      <w:tabs>
        <w:tab w:val="center" w:pos="4536"/>
        <w:tab w:val="right" w:pos="9072"/>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4F76A1"/>
  </w:style>
  <w:style w:type="paragraph" w:styleId="TOC1">
    <w:name w:val="toc 1"/>
    <w:basedOn w:val="Normal"/>
    <w:next w:val="Normal"/>
    <w:autoRedefine/>
    <w:uiPriority w:val="39"/>
    <w:unhideWhenUsed/>
    <w:qFormat/>
    <w:rsid w:val="004F76A1"/>
    <w:pPr>
      <w:tabs>
        <w:tab w:val="left" w:pos="440"/>
        <w:tab w:val="right" w:leader="dot" w:pos="9060"/>
      </w:tabs>
      <w:spacing w:after="100"/>
    </w:pPr>
    <w:rPr>
      <w:rFonts w:asciiTheme="minorHAnsi" w:hAnsiTheme="minorHAnsi"/>
      <w:b/>
      <w:noProof/>
      <w:sz w:val="22"/>
    </w:rPr>
  </w:style>
  <w:style w:type="paragraph" w:styleId="TOC2">
    <w:name w:val="toc 2"/>
    <w:basedOn w:val="Normal"/>
    <w:next w:val="Normal"/>
    <w:autoRedefine/>
    <w:uiPriority w:val="39"/>
    <w:unhideWhenUsed/>
    <w:qFormat/>
    <w:rsid w:val="004F76A1"/>
    <w:pPr>
      <w:spacing w:after="100"/>
      <w:ind w:left="220"/>
    </w:pPr>
    <w:rPr>
      <w:rFonts w:asciiTheme="minorHAnsi" w:hAnsiTheme="minorHAnsi"/>
      <w:sz w:val="22"/>
    </w:rPr>
  </w:style>
  <w:style w:type="paragraph" w:styleId="TOC3">
    <w:name w:val="toc 3"/>
    <w:basedOn w:val="Normal"/>
    <w:next w:val="Normal"/>
    <w:autoRedefine/>
    <w:uiPriority w:val="39"/>
    <w:unhideWhenUsed/>
    <w:qFormat/>
    <w:rsid w:val="004F76A1"/>
    <w:pPr>
      <w:tabs>
        <w:tab w:val="left" w:pos="1320"/>
        <w:tab w:val="right" w:leader="dot" w:pos="9060"/>
      </w:tabs>
      <w:spacing w:after="100"/>
      <w:ind w:left="440"/>
    </w:pPr>
    <w:rPr>
      <w:rFonts w:asciiTheme="minorHAnsi" w:hAnsiTheme="minorHAnsi"/>
      <w:sz w:val="22"/>
    </w:rPr>
  </w:style>
  <w:style w:type="character" w:styleId="Hyperlink">
    <w:name w:val="Hyperlink"/>
    <w:basedOn w:val="DefaultParagraphFont"/>
    <w:uiPriority w:val="99"/>
    <w:unhideWhenUsed/>
    <w:rsid w:val="004F76A1"/>
    <w:rPr>
      <w:color w:val="0563C1" w:themeColor="hyperlink"/>
      <w:u w:val="single"/>
    </w:rPr>
  </w:style>
  <w:style w:type="paragraph" w:customStyle="1" w:styleId="t-12-9-sred">
    <w:name w:val="t-12-9-sred"/>
    <w:basedOn w:val="Normal"/>
    <w:rsid w:val="004F76A1"/>
    <w:pPr>
      <w:spacing w:before="100" w:beforeAutospacing="1" w:after="100" w:afterAutospacing="1" w:line="240" w:lineRule="auto"/>
      <w:jc w:val="left"/>
    </w:pPr>
    <w:rPr>
      <w:rFonts w:eastAsia="Times New Roman" w:cs="Times New Roman"/>
      <w:szCs w:val="24"/>
      <w:lang w:eastAsia="hr-HR"/>
    </w:rPr>
  </w:style>
  <w:style w:type="paragraph" w:customStyle="1" w:styleId="t-9-8-bez-uvl">
    <w:name w:val="t-9-8-bez-uvl"/>
    <w:basedOn w:val="Normal"/>
    <w:rsid w:val="004F76A1"/>
    <w:pPr>
      <w:spacing w:before="100" w:beforeAutospacing="1" w:after="100" w:afterAutospacing="1" w:line="240" w:lineRule="auto"/>
      <w:jc w:val="left"/>
    </w:pPr>
    <w:rPr>
      <w:rFonts w:eastAsia="Times New Roman" w:cs="Times New Roman"/>
      <w:szCs w:val="24"/>
      <w:lang w:eastAsia="hr-HR"/>
    </w:rPr>
  </w:style>
  <w:style w:type="character" w:customStyle="1" w:styleId="bold">
    <w:name w:val="bold"/>
    <w:basedOn w:val="DefaultParagraphFont"/>
    <w:rsid w:val="004F76A1"/>
  </w:style>
  <w:style w:type="table" w:styleId="LightList-Accent1">
    <w:name w:val="Light List Accent 1"/>
    <w:basedOn w:val="TableNormal"/>
    <w:uiPriority w:val="61"/>
    <w:rsid w:val="004F76A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aliases w:val="uvlaka 2,uvlaka 3"/>
    <w:basedOn w:val="Normal"/>
    <w:link w:val="BodyTextChar"/>
    <w:uiPriority w:val="99"/>
    <w:rsid w:val="004F76A1"/>
    <w:pPr>
      <w:spacing w:after="0" w:line="240" w:lineRule="auto"/>
    </w:pPr>
    <w:rPr>
      <w:rFonts w:ascii="Arial" w:eastAsia="Times New Roman" w:hAnsi="Arial" w:cs="Arial"/>
      <w:szCs w:val="24"/>
    </w:rPr>
  </w:style>
  <w:style w:type="character" w:customStyle="1" w:styleId="BodyTextChar">
    <w:name w:val="Body Text Char"/>
    <w:aliases w:val="uvlaka 2 Char,uvlaka 3 Char"/>
    <w:basedOn w:val="DefaultParagraphFont"/>
    <w:link w:val="BodyText"/>
    <w:uiPriority w:val="99"/>
    <w:rsid w:val="004F76A1"/>
    <w:rPr>
      <w:rFonts w:ascii="Arial" w:eastAsia="Times New Roman" w:hAnsi="Arial" w:cs="Arial"/>
      <w:sz w:val="24"/>
      <w:szCs w:val="24"/>
    </w:rPr>
  </w:style>
  <w:style w:type="character" w:styleId="Strong">
    <w:name w:val="Strong"/>
    <w:basedOn w:val="DefaultParagraphFont"/>
    <w:uiPriority w:val="22"/>
    <w:qFormat/>
    <w:rsid w:val="004F76A1"/>
    <w:rPr>
      <w:b/>
      <w:bCs/>
    </w:rPr>
  </w:style>
  <w:style w:type="table" w:customStyle="1" w:styleId="GridTable1Light-Accent61">
    <w:name w:val="Grid Table 1 Light - Accent 61"/>
    <w:basedOn w:val="TableNormal"/>
    <w:uiPriority w:val="46"/>
    <w:rsid w:val="004F76A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4F76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4F76A1"/>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table" w:styleId="LightList-Accent2">
    <w:name w:val="Light List Accent 2"/>
    <w:basedOn w:val="TableNormal"/>
    <w:uiPriority w:val="61"/>
    <w:rsid w:val="004F76A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GridTable5Dark-Accent61">
    <w:name w:val="Grid Table 5 Dark - Accent 61"/>
    <w:basedOn w:val="TableNormal"/>
    <w:uiPriority w:val="50"/>
    <w:rsid w:val="004F76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PredmetkomentaraChar1">
    <w:name w:val="Predmet komentara Char1"/>
    <w:basedOn w:val="CommentTextChar"/>
    <w:uiPriority w:val="99"/>
    <w:semiHidden/>
    <w:rsid w:val="004F76A1"/>
    <w:rPr>
      <w:rFonts w:ascii="Times New Roman" w:hAnsi="Times New Roman"/>
      <w:b/>
      <w:bCs/>
      <w:sz w:val="20"/>
      <w:szCs w:val="20"/>
    </w:rPr>
  </w:style>
  <w:style w:type="character" w:customStyle="1" w:styleId="Bodytext3">
    <w:name w:val="Body text (3)_"/>
    <w:basedOn w:val="DefaultParagraphFont"/>
    <w:link w:val="Bodytext30"/>
    <w:rsid w:val="004F76A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4F76A1"/>
    <w:pPr>
      <w:widowControl w:val="0"/>
      <w:shd w:val="clear" w:color="auto" w:fill="FFFFFF"/>
      <w:spacing w:after="0" w:line="0" w:lineRule="atLeast"/>
    </w:pPr>
    <w:rPr>
      <w:rFonts w:eastAsia="Times New Roman" w:cs="Times New Roman"/>
      <w:b/>
      <w:bCs/>
      <w:sz w:val="17"/>
      <w:szCs w:val="17"/>
    </w:rPr>
  </w:style>
  <w:style w:type="character" w:customStyle="1" w:styleId="Bodytext3TimesNewRoman11ptNotBoldNotItalic">
    <w:name w:val="Body text (3) + Times New Roman;11 pt;Not Bold;Not Italic"/>
    <w:basedOn w:val="Bodytext3"/>
    <w:rsid w:val="004F76A1"/>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character" w:styleId="SubtleEmphasis">
    <w:name w:val="Subtle Emphasis"/>
    <w:basedOn w:val="DefaultParagraphFont"/>
    <w:uiPriority w:val="19"/>
    <w:qFormat/>
    <w:rsid w:val="004F76A1"/>
    <w:rPr>
      <w:i/>
      <w:iCs/>
      <w:color w:val="404040" w:themeColor="text1" w:themeTint="BF"/>
    </w:rPr>
  </w:style>
  <w:style w:type="paragraph" w:customStyle="1" w:styleId="StilBitstreamVeraSansPodebljanoCentrirano">
    <w:name w:val="Stil Bitstream Vera Sans Podebljano Centrirano"/>
    <w:basedOn w:val="Normal"/>
    <w:rsid w:val="004F76A1"/>
    <w:pPr>
      <w:spacing w:after="0" w:line="240" w:lineRule="auto"/>
      <w:jc w:val="center"/>
    </w:pPr>
    <w:rPr>
      <w:rFonts w:ascii="Bitstream Vera Sans" w:eastAsia="Times New Roman" w:hAnsi="Bitstream Vera Sans" w:cs="Times New Roman"/>
      <w:b/>
      <w:bCs/>
      <w:sz w:val="28"/>
      <w:szCs w:val="20"/>
      <w:lang w:eastAsia="hr-HR"/>
    </w:rPr>
  </w:style>
  <w:style w:type="character" w:styleId="PageNumber">
    <w:name w:val="page number"/>
    <w:basedOn w:val="DefaultParagraphFont"/>
    <w:rsid w:val="004F76A1"/>
  </w:style>
  <w:style w:type="character" w:styleId="Emphasis">
    <w:name w:val="Emphasis"/>
    <w:basedOn w:val="DefaultParagraphFont"/>
    <w:uiPriority w:val="20"/>
    <w:qFormat/>
    <w:rsid w:val="004F76A1"/>
    <w:rPr>
      <w:i/>
      <w:iCs/>
    </w:rPr>
  </w:style>
  <w:style w:type="paragraph" w:customStyle="1" w:styleId="Bul1">
    <w:name w:val="Bul1"/>
    <w:basedOn w:val="BodyText"/>
    <w:rsid w:val="004F76A1"/>
    <w:pPr>
      <w:numPr>
        <w:numId w:val="7"/>
      </w:numPr>
      <w:overflowPunct w:val="0"/>
      <w:autoSpaceDE w:val="0"/>
      <w:autoSpaceDN w:val="0"/>
      <w:adjustRightInd w:val="0"/>
      <w:spacing w:line="360" w:lineRule="auto"/>
      <w:jc w:val="left"/>
      <w:textAlignment w:val="baseline"/>
    </w:pPr>
    <w:rPr>
      <w:sz w:val="23"/>
      <w:lang w:eastAsia="hr-HR"/>
    </w:rPr>
  </w:style>
  <w:style w:type="paragraph" w:styleId="TOC4">
    <w:name w:val="toc 4"/>
    <w:basedOn w:val="Normal"/>
    <w:next w:val="Normal"/>
    <w:autoRedefine/>
    <w:uiPriority w:val="39"/>
    <w:unhideWhenUsed/>
    <w:rsid w:val="004F76A1"/>
    <w:pPr>
      <w:spacing w:after="100"/>
      <w:ind w:left="660"/>
    </w:pPr>
    <w:rPr>
      <w:rFonts w:asciiTheme="minorHAnsi" w:hAnsiTheme="minorHAnsi"/>
      <w:sz w:val="22"/>
    </w:rPr>
  </w:style>
  <w:style w:type="paragraph" w:styleId="TOC5">
    <w:name w:val="toc 5"/>
    <w:basedOn w:val="Normal"/>
    <w:next w:val="Normal"/>
    <w:autoRedefine/>
    <w:uiPriority w:val="39"/>
    <w:unhideWhenUsed/>
    <w:rsid w:val="004F76A1"/>
    <w:pPr>
      <w:spacing w:after="100"/>
      <w:ind w:left="880"/>
    </w:pPr>
    <w:rPr>
      <w:rFonts w:asciiTheme="minorHAnsi" w:hAnsiTheme="minorHAnsi"/>
      <w:sz w:val="22"/>
    </w:rPr>
  </w:style>
  <w:style w:type="paragraph" w:customStyle="1" w:styleId="t-9-8">
    <w:name w:val="t-9-8"/>
    <w:basedOn w:val="Normal"/>
    <w:rsid w:val="004F76A1"/>
    <w:pPr>
      <w:spacing w:before="100" w:beforeAutospacing="1" w:after="100" w:afterAutospacing="1" w:line="240" w:lineRule="auto"/>
      <w:jc w:val="left"/>
    </w:pPr>
    <w:rPr>
      <w:rFonts w:eastAsia="Times New Roman" w:cs="Times New Roman"/>
      <w:szCs w:val="24"/>
      <w:lang w:eastAsia="hr-HR"/>
    </w:rPr>
  </w:style>
  <w:style w:type="paragraph" w:styleId="NoSpacing">
    <w:name w:val="No Spacing"/>
    <w:link w:val="NoSpacingChar"/>
    <w:uiPriority w:val="1"/>
    <w:qFormat/>
    <w:rsid w:val="004F76A1"/>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4F76A1"/>
    <w:rPr>
      <w:rFonts w:eastAsiaTheme="minorEastAsia"/>
      <w:lang w:eastAsia="hr-HR"/>
    </w:rPr>
  </w:style>
  <w:style w:type="table" w:customStyle="1" w:styleId="LightList-Accent11">
    <w:name w:val="Light List - Accent 11"/>
    <w:basedOn w:val="TableNormal"/>
    <w:next w:val="LightList-Accent1"/>
    <w:uiPriority w:val="61"/>
    <w:rsid w:val="004F76A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Shading1-Accent1">
    <w:name w:val="Medium Shading 1 Accent 1"/>
    <w:basedOn w:val="TableNormal"/>
    <w:uiPriority w:val="63"/>
    <w:rsid w:val="004F76A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Style66">
    <w:name w:val="Style66"/>
    <w:basedOn w:val="Normal"/>
    <w:uiPriority w:val="99"/>
    <w:rsid w:val="004F76A1"/>
    <w:pPr>
      <w:autoSpaceDE w:val="0"/>
      <w:autoSpaceDN w:val="0"/>
      <w:spacing w:after="0" w:line="240" w:lineRule="auto"/>
      <w:jc w:val="center"/>
    </w:pPr>
    <w:rPr>
      <w:rFonts w:ascii="Garamond" w:hAnsi="Garamond" w:cs="Times New Roman"/>
      <w:color w:val="000000"/>
      <w:szCs w:val="24"/>
      <w:lang w:eastAsia="cs-CZ"/>
    </w:rPr>
  </w:style>
  <w:style w:type="paragraph" w:customStyle="1" w:styleId="Style53">
    <w:name w:val="Style53"/>
    <w:basedOn w:val="Normal"/>
    <w:uiPriority w:val="99"/>
    <w:rsid w:val="004F76A1"/>
    <w:pPr>
      <w:autoSpaceDE w:val="0"/>
      <w:autoSpaceDN w:val="0"/>
      <w:spacing w:after="0" w:line="240" w:lineRule="auto"/>
      <w:jc w:val="left"/>
    </w:pPr>
    <w:rPr>
      <w:rFonts w:ascii="Garamond" w:hAnsi="Garamond" w:cs="Times New Roman"/>
      <w:color w:val="000000"/>
      <w:szCs w:val="24"/>
      <w:lang w:eastAsia="cs-CZ"/>
    </w:rPr>
  </w:style>
  <w:style w:type="character" w:customStyle="1" w:styleId="FontStyle113">
    <w:name w:val="Font Style113"/>
    <w:basedOn w:val="DefaultParagraphFont"/>
    <w:uiPriority w:val="99"/>
    <w:rsid w:val="004F76A1"/>
    <w:rPr>
      <w:rFonts w:ascii="Arial" w:hAnsi="Arial" w:cs="Arial" w:hint="default"/>
      <w:color w:val="000000"/>
    </w:rPr>
  </w:style>
  <w:style w:type="character" w:styleId="PlaceholderText">
    <w:name w:val="Placeholder Text"/>
    <w:basedOn w:val="DefaultParagraphFont"/>
    <w:uiPriority w:val="99"/>
    <w:semiHidden/>
    <w:rsid w:val="004F76A1"/>
    <w:rPr>
      <w:color w:val="808080"/>
    </w:rPr>
  </w:style>
  <w:style w:type="table" w:customStyle="1" w:styleId="GridTable5Dark-Accent11">
    <w:name w:val="Grid Table 5 Dark - Accent 11"/>
    <w:basedOn w:val="TableNormal"/>
    <w:uiPriority w:val="50"/>
    <w:rsid w:val="004F76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OC6">
    <w:name w:val="toc 6"/>
    <w:basedOn w:val="Normal"/>
    <w:next w:val="Normal"/>
    <w:autoRedefine/>
    <w:uiPriority w:val="39"/>
    <w:unhideWhenUsed/>
    <w:rsid w:val="004F76A1"/>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4F76A1"/>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4F76A1"/>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4F76A1"/>
    <w:pPr>
      <w:spacing w:after="100"/>
      <w:ind w:left="1760"/>
      <w:jc w:val="left"/>
    </w:pPr>
    <w:rPr>
      <w:rFonts w:asciiTheme="minorHAnsi" w:eastAsiaTheme="minorEastAsia" w:hAnsiTheme="minorHAnsi"/>
      <w:sz w:val="22"/>
      <w:lang w:eastAsia="hr-HR"/>
    </w:rPr>
  </w:style>
  <w:style w:type="paragraph" w:styleId="Revision">
    <w:name w:val="Revision"/>
    <w:hidden/>
    <w:uiPriority w:val="99"/>
    <w:semiHidden/>
    <w:rsid w:val="004F76A1"/>
    <w:pPr>
      <w:spacing w:after="0" w:line="240" w:lineRule="auto"/>
    </w:pPr>
  </w:style>
  <w:style w:type="table" w:customStyle="1" w:styleId="TableGrid1">
    <w:name w:val="Table Grid1"/>
    <w:basedOn w:val="TableNormal"/>
    <w:next w:val="TableGrid"/>
    <w:uiPriority w:val="39"/>
    <w:rsid w:val="004F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76A1"/>
    <w:rPr>
      <w:color w:val="605E5C"/>
      <w:shd w:val="clear" w:color="auto" w:fill="E1DFDD"/>
    </w:rPr>
  </w:style>
  <w:style w:type="character" w:styleId="FollowedHyperlink">
    <w:name w:val="FollowedHyperlink"/>
    <w:basedOn w:val="DefaultParagraphFont"/>
    <w:uiPriority w:val="99"/>
    <w:semiHidden/>
    <w:unhideWhenUsed/>
    <w:rsid w:val="004F76A1"/>
    <w:rPr>
      <w:color w:val="954F72" w:themeColor="followedHyperlink"/>
      <w:u w:val="single"/>
    </w:rPr>
  </w:style>
  <w:style w:type="character" w:customStyle="1" w:styleId="Mention1">
    <w:name w:val="Mention1"/>
    <w:basedOn w:val="DefaultParagraphFont"/>
    <w:uiPriority w:val="99"/>
    <w:unhideWhenUsed/>
    <w:rsid w:val="004F76A1"/>
    <w:rPr>
      <w:color w:val="2B579A"/>
      <w:shd w:val="clear" w:color="auto" w:fill="E6E6E6"/>
    </w:rPr>
  </w:style>
  <w:style w:type="numbering" w:customStyle="1" w:styleId="Lettered">
    <w:name w:val="Lettered"/>
    <w:rsid w:val="004F76A1"/>
    <w:pPr>
      <w:numPr>
        <w:numId w:val="8"/>
      </w:numPr>
    </w:pPr>
  </w:style>
  <w:style w:type="numbering" w:customStyle="1" w:styleId="ImportedStyle1">
    <w:name w:val="Imported Style 1"/>
    <w:rsid w:val="004F76A1"/>
    <w:pPr>
      <w:numPr>
        <w:numId w:val="9"/>
      </w:numPr>
    </w:pPr>
  </w:style>
  <w:style w:type="paragraph" w:styleId="TableofFigures">
    <w:name w:val="table of figures"/>
    <w:basedOn w:val="Normal"/>
    <w:next w:val="Normal"/>
    <w:uiPriority w:val="99"/>
    <w:unhideWhenUsed/>
    <w:rsid w:val="004F76A1"/>
    <w:pPr>
      <w:spacing w:after="0"/>
    </w:pPr>
    <w:rPr>
      <w:rFonts w:asciiTheme="minorHAnsi" w:hAnsiTheme="minorHAnsi"/>
      <w:sz w:val="22"/>
    </w:rPr>
  </w:style>
  <w:style w:type="table" w:customStyle="1" w:styleId="TableGrid2">
    <w:name w:val="Table Grid2"/>
    <w:basedOn w:val="TableNormal"/>
    <w:next w:val="TableGrid"/>
    <w:uiPriority w:val="39"/>
    <w:rsid w:val="004F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4F76A1"/>
    <w:pPr>
      <w:keepNext/>
      <w:keepLines/>
      <w:pageBreakBefore/>
      <w:spacing w:before="120" w:after="0" w:line="240" w:lineRule="auto"/>
      <w:ind w:left="432" w:hanging="432"/>
      <w:outlineLvl w:val="0"/>
    </w:pPr>
    <w:rPr>
      <w:rFonts w:ascii="Cambria" w:eastAsia="MS Gothic" w:hAnsi="Cambria" w:cs="Times New Roman"/>
      <w:b/>
      <w:bCs/>
      <w:sz w:val="36"/>
      <w:szCs w:val="28"/>
    </w:rPr>
  </w:style>
  <w:style w:type="paragraph" w:customStyle="1" w:styleId="Heading51">
    <w:name w:val="Heading 51"/>
    <w:basedOn w:val="Normal"/>
    <w:next w:val="Normal"/>
    <w:uiPriority w:val="9"/>
    <w:unhideWhenUsed/>
    <w:qFormat/>
    <w:rsid w:val="004F76A1"/>
    <w:pPr>
      <w:keepNext/>
      <w:keepLines/>
      <w:tabs>
        <w:tab w:val="num" w:pos="360"/>
      </w:tabs>
      <w:spacing w:before="200" w:after="0" w:line="360" w:lineRule="auto"/>
      <w:outlineLvl w:val="4"/>
    </w:pPr>
    <w:rPr>
      <w:rFonts w:ascii="Cambria" w:eastAsia="MS Gothic" w:hAnsi="Cambria" w:cs="Times New Roman"/>
      <w:b/>
      <w:color w:val="3C3D3E"/>
      <w:sz w:val="22"/>
    </w:rPr>
  </w:style>
  <w:style w:type="paragraph" w:customStyle="1" w:styleId="Heading61">
    <w:name w:val="Heading 61"/>
    <w:basedOn w:val="Normal"/>
    <w:next w:val="Normal"/>
    <w:uiPriority w:val="9"/>
    <w:semiHidden/>
    <w:unhideWhenUsed/>
    <w:qFormat/>
    <w:rsid w:val="004F76A1"/>
    <w:pPr>
      <w:keepNext/>
      <w:keepLines/>
      <w:tabs>
        <w:tab w:val="num" w:pos="360"/>
      </w:tabs>
      <w:spacing w:before="200" w:after="0"/>
      <w:outlineLvl w:val="5"/>
    </w:pPr>
    <w:rPr>
      <w:rFonts w:ascii="Cambria" w:eastAsia="MS Gothic" w:hAnsi="Cambria" w:cs="Times New Roman"/>
      <w:i/>
      <w:iCs/>
      <w:color w:val="3C3D3E"/>
      <w:sz w:val="22"/>
    </w:rPr>
  </w:style>
  <w:style w:type="paragraph" w:customStyle="1" w:styleId="Heading71">
    <w:name w:val="Heading 71"/>
    <w:basedOn w:val="Normal"/>
    <w:next w:val="Normal"/>
    <w:uiPriority w:val="9"/>
    <w:semiHidden/>
    <w:unhideWhenUsed/>
    <w:qFormat/>
    <w:rsid w:val="004F76A1"/>
    <w:pPr>
      <w:keepNext/>
      <w:keepLines/>
      <w:tabs>
        <w:tab w:val="num" w:pos="360"/>
      </w:tabs>
      <w:spacing w:before="200" w:after="0"/>
      <w:outlineLvl w:val="6"/>
    </w:pPr>
    <w:rPr>
      <w:rFonts w:ascii="Cambria" w:eastAsia="MS Gothic" w:hAnsi="Cambria" w:cs="Times New Roman"/>
      <w:i/>
      <w:iCs/>
      <w:color w:val="404040"/>
      <w:sz w:val="22"/>
    </w:rPr>
  </w:style>
  <w:style w:type="paragraph" w:customStyle="1" w:styleId="Heading81">
    <w:name w:val="Heading 81"/>
    <w:basedOn w:val="Normal"/>
    <w:next w:val="Normal"/>
    <w:uiPriority w:val="9"/>
    <w:semiHidden/>
    <w:unhideWhenUsed/>
    <w:qFormat/>
    <w:rsid w:val="004F76A1"/>
    <w:pPr>
      <w:keepNext/>
      <w:keepLines/>
      <w:tabs>
        <w:tab w:val="num" w:pos="360"/>
      </w:tabs>
      <w:spacing w:before="200" w:after="0"/>
      <w:outlineLvl w:val="7"/>
    </w:pPr>
    <w:rPr>
      <w:rFonts w:ascii="Cambria" w:eastAsia="MS Gothic" w:hAnsi="Cambria" w:cs="Times New Roman"/>
      <w:color w:val="404040"/>
      <w:sz w:val="20"/>
      <w:szCs w:val="20"/>
    </w:rPr>
  </w:style>
  <w:style w:type="paragraph" w:customStyle="1" w:styleId="Heading91">
    <w:name w:val="Heading 91"/>
    <w:basedOn w:val="Normal"/>
    <w:next w:val="Normal"/>
    <w:uiPriority w:val="9"/>
    <w:semiHidden/>
    <w:unhideWhenUsed/>
    <w:qFormat/>
    <w:rsid w:val="004F76A1"/>
    <w:pPr>
      <w:keepNext/>
      <w:keepLines/>
      <w:tabs>
        <w:tab w:val="num" w:pos="360"/>
      </w:tabs>
      <w:spacing w:before="200" w:after="0"/>
      <w:outlineLvl w:val="8"/>
    </w:pPr>
    <w:rPr>
      <w:rFonts w:ascii="Cambria" w:eastAsia="MS Gothic" w:hAnsi="Cambria" w:cs="Times New Roman"/>
      <w:i/>
      <w:iCs/>
      <w:color w:val="404040"/>
      <w:sz w:val="20"/>
      <w:szCs w:val="20"/>
    </w:rPr>
  </w:style>
  <w:style w:type="paragraph" w:styleId="PlainText">
    <w:name w:val="Plain Text"/>
    <w:basedOn w:val="Normal"/>
    <w:link w:val="PlainTextChar"/>
    <w:uiPriority w:val="99"/>
    <w:unhideWhenUsed/>
    <w:rsid w:val="004F76A1"/>
    <w:pPr>
      <w:spacing w:after="0"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4F76A1"/>
    <w:rPr>
      <w:rFonts w:ascii="Calibri" w:hAnsi="Calibri"/>
      <w:szCs w:val="21"/>
    </w:rPr>
  </w:style>
  <w:style w:type="character" w:customStyle="1" w:styleId="UnresolvedMention2">
    <w:name w:val="Unresolved Mention2"/>
    <w:basedOn w:val="DefaultParagraphFont"/>
    <w:uiPriority w:val="99"/>
    <w:semiHidden/>
    <w:unhideWhenUsed/>
    <w:rsid w:val="004F76A1"/>
    <w:rPr>
      <w:color w:val="605E5C"/>
      <w:shd w:val="clear" w:color="auto" w:fill="E1DFDD"/>
    </w:rPr>
  </w:style>
  <w:style w:type="character" w:customStyle="1" w:styleId="Mention2">
    <w:name w:val="Mention2"/>
    <w:basedOn w:val="DefaultParagraphFont"/>
    <w:uiPriority w:val="99"/>
    <w:unhideWhenUsed/>
    <w:rsid w:val="004F76A1"/>
    <w:rPr>
      <w:color w:val="2B579A"/>
      <w:shd w:val="clear" w:color="auto" w:fill="E6E6E6"/>
    </w:rPr>
  </w:style>
  <w:style w:type="table" w:customStyle="1" w:styleId="TableGrid3">
    <w:name w:val="Table Grid3"/>
    <w:basedOn w:val="TableNormal"/>
    <w:next w:val="TableGrid"/>
    <w:uiPriority w:val="39"/>
    <w:rsid w:val="004F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4F76A1"/>
    <w:rPr>
      <w:color w:val="605E5C"/>
      <w:shd w:val="clear" w:color="auto" w:fill="E1DFDD"/>
    </w:rPr>
  </w:style>
  <w:style w:type="character" w:customStyle="1" w:styleId="Spominjanje1">
    <w:name w:val="Spominjanje1"/>
    <w:basedOn w:val="DefaultParagraphFont"/>
    <w:uiPriority w:val="99"/>
    <w:unhideWhenUsed/>
    <w:rsid w:val="004F76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A69CB7C3C144F8DDB6FC558123906" ma:contentTypeVersion="12" ma:contentTypeDescription="Create a new document." ma:contentTypeScope="" ma:versionID="c1a736749b3e18999139482b24097ec1">
  <xsd:schema xmlns:xsd="http://www.w3.org/2001/XMLSchema" xmlns:xs="http://www.w3.org/2001/XMLSchema" xmlns:p="http://schemas.microsoft.com/office/2006/metadata/properties" xmlns:ns2="31354a98-7fdf-45b9-a9db-c8e5d5aa5604" xmlns:ns3="e772d2f0-0106-4fbb-80f7-63e9b7c29b6a" targetNamespace="http://schemas.microsoft.com/office/2006/metadata/properties" ma:root="true" ma:fieldsID="b8c7b8622a01ec32fb6e64dbbe3391df" ns2:_="" ns3:_="">
    <xsd:import namespace="31354a98-7fdf-45b9-a9db-c8e5d5aa5604"/>
    <xsd:import namespace="e772d2f0-0106-4fbb-80f7-63e9b7c29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54a98-7fdf-45b9-a9db-c8e5d5aa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2d2f0-0106-4fbb-80f7-63e9b7c29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5AEE2-EADC-4E06-A6AC-650E2B78C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54a98-7fdf-45b9-a9db-c8e5d5aa5604"/>
    <ds:schemaRef ds:uri="e772d2f0-0106-4fbb-80f7-63e9b7c29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8AB49-8437-478E-AF21-7F2F8C73F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2022-08-23T11:15:00Z</dcterms:created>
  <dcterms:modified xsi:type="dcterms:W3CDTF">2022-08-23T13:28:00Z</dcterms:modified>
</cp:coreProperties>
</file>